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04C" w:rsidRPr="00AE41C0" w:rsidRDefault="0086504C" w:rsidP="0086504C">
      <w:pPr>
        <w:rPr>
          <w:lang w:val="tr-TR"/>
        </w:rPr>
      </w:pPr>
    </w:p>
    <w:p w:rsidR="0086504C" w:rsidRPr="00AE41C0" w:rsidRDefault="0086504C" w:rsidP="0086504C">
      <w:pPr>
        <w:rPr>
          <w:lang w:val="tr-TR"/>
        </w:rPr>
      </w:pPr>
    </w:p>
    <w:p w:rsidR="0086504C" w:rsidRPr="00AE41C0" w:rsidRDefault="0086504C" w:rsidP="0086504C">
      <w:pPr>
        <w:pStyle w:val="Title"/>
        <w:jc w:val="center"/>
        <w:rPr>
          <w:sz w:val="44"/>
        </w:rPr>
      </w:pPr>
      <w:r w:rsidRPr="00AE41C0">
        <w:rPr>
          <w:noProof/>
          <w:lang w:eastAsia="tr-TR"/>
        </w:rPr>
        <w:drawing>
          <wp:inline distT="0" distB="0" distL="0" distR="0" wp14:anchorId="0B646FA3" wp14:editId="271B763D">
            <wp:extent cx="2647950" cy="1238250"/>
            <wp:effectExtent l="0" t="0" r="0" b="0"/>
            <wp:docPr id="5" name="Picture 5" descr="http://www.bthk.org/tr/SiteAssets/bthk-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thk.org/tr/SiteAssets/bthk-log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47950" cy="1238250"/>
                    </a:xfrm>
                    <a:prstGeom prst="rect">
                      <a:avLst/>
                    </a:prstGeom>
                    <a:noFill/>
                    <a:ln>
                      <a:noFill/>
                    </a:ln>
                  </pic:spPr>
                </pic:pic>
              </a:graphicData>
            </a:graphic>
          </wp:inline>
        </w:drawing>
      </w:r>
    </w:p>
    <w:p w:rsidR="0086504C" w:rsidRPr="00AE41C0" w:rsidRDefault="0086504C" w:rsidP="0086504C">
      <w:pPr>
        <w:rPr>
          <w:lang w:val="tr-TR"/>
        </w:rPr>
      </w:pPr>
    </w:p>
    <w:p w:rsidR="0086504C" w:rsidRPr="00AE41C0" w:rsidRDefault="0086504C" w:rsidP="0086504C">
      <w:pPr>
        <w:pStyle w:val="Title"/>
        <w:jc w:val="center"/>
        <w:rPr>
          <w:b/>
          <w:sz w:val="44"/>
        </w:rPr>
      </w:pPr>
      <w:r w:rsidRPr="00AE41C0">
        <w:rPr>
          <w:b/>
          <w:sz w:val="44"/>
        </w:rPr>
        <w:t>KUZEY KIBRIS TÜRK CUMHURİYETİ</w:t>
      </w:r>
    </w:p>
    <w:p w:rsidR="0086504C" w:rsidRPr="00AE41C0" w:rsidRDefault="0086504C" w:rsidP="0086504C">
      <w:pPr>
        <w:pStyle w:val="Title"/>
        <w:jc w:val="center"/>
        <w:rPr>
          <w:b/>
          <w:sz w:val="44"/>
        </w:rPr>
      </w:pPr>
      <w:r w:rsidRPr="00AE41C0">
        <w:rPr>
          <w:b/>
          <w:sz w:val="44"/>
        </w:rPr>
        <w:t>BİLGİ TEKNOLOJİLERİ VE HABERLEŞME KURUMU</w:t>
      </w:r>
    </w:p>
    <w:p w:rsidR="0086504C" w:rsidRPr="00AE41C0" w:rsidRDefault="0086504C" w:rsidP="0086504C">
      <w:pPr>
        <w:pStyle w:val="Title"/>
        <w:jc w:val="center"/>
        <w:rPr>
          <w:sz w:val="44"/>
        </w:rPr>
      </w:pPr>
    </w:p>
    <w:p w:rsidR="0086504C" w:rsidRPr="00AE41C0" w:rsidRDefault="0086504C" w:rsidP="0086504C">
      <w:pPr>
        <w:pStyle w:val="Title"/>
        <w:jc w:val="center"/>
        <w:rPr>
          <w:sz w:val="44"/>
        </w:rPr>
      </w:pPr>
    </w:p>
    <w:p w:rsidR="0086504C" w:rsidRPr="00AE41C0" w:rsidRDefault="0086504C" w:rsidP="0086504C">
      <w:pPr>
        <w:rPr>
          <w:lang w:val="tr-TR"/>
        </w:rPr>
      </w:pPr>
    </w:p>
    <w:p w:rsidR="0086504C" w:rsidRPr="00AE41C0" w:rsidRDefault="0086504C" w:rsidP="0086504C">
      <w:pPr>
        <w:rPr>
          <w:lang w:val="tr-TR"/>
        </w:rPr>
      </w:pPr>
    </w:p>
    <w:p w:rsidR="0086504C" w:rsidRPr="00AE41C0" w:rsidRDefault="0086504C" w:rsidP="0086504C">
      <w:pPr>
        <w:pStyle w:val="Title"/>
        <w:jc w:val="center"/>
        <w:rPr>
          <w:sz w:val="44"/>
        </w:rPr>
      </w:pPr>
    </w:p>
    <w:p w:rsidR="0086504C" w:rsidRPr="00AE41C0" w:rsidRDefault="0086504C" w:rsidP="0086504C">
      <w:pPr>
        <w:pStyle w:val="Title"/>
        <w:jc w:val="center"/>
        <w:rPr>
          <w:rFonts w:asciiTheme="minorHAnsi" w:hAnsiTheme="minorHAnsi"/>
          <w:sz w:val="44"/>
        </w:rPr>
      </w:pPr>
      <w:r w:rsidRPr="00AE41C0">
        <w:rPr>
          <w:rFonts w:asciiTheme="minorHAnsi" w:hAnsiTheme="minorHAnsi"/>
          <w:sz w:val="44"/>
        </w:rPr>
        <w:t>Piyasa Analizi Danışmanlık Hizmet Alımı İhalesi</w:t>
      </w:r>
    </w:p>
    <w:p w:rsidR="0086504C" w:rsidRPr="00AE41C0" w:rsidRDefault="0086504C" w:rsidP="0086504C">
      <w:pPr>
        <w:pStyle w:val="Title"/>
        <w:jc w:val="both"/>
        <w:rPr>
          <w:rFonts w:asciiTheme="minorHAnsi" w:hAnsiTheme="minorHAnsi"/>
          <w:b/>
          <w:sz w:val="48"/>
          <w:u w:val="single"/>
        </w:rPr>
      </w:pPr>
    </w:p>
    <w:p w:rsidR="0086504C" w:rsidRDefault="0086504C" w:rsidP="0086504C">
      <w:pPr>
        <w:jc w:val="center"/>
        <w:rPr>
          <w:b/>
          <w:sz w:val="32"/>
          <w:lang w:val="tr-TR"/>
        </w:rPr>
      </w:pPr>
      <w:r w:rsidRPr="00AE41C0">
        <w:rPr>
          <w:b/>
          <w:sz w:val="32"/>
          <w:lang w:val="tr-TR"/>
        </w:rPr>
        <w:t>Teknik Şartnamesi</w:t>
      </w:r>
    </w:p>
    <w:p w:rsidR="007D2B7F" w:rsidRPr="00AE41C0" w:rsidRDefault="007D2B7F" w:rsidP="0086504C">
      <w:pPr>
        <w:jc w:val="center"/>
        <w:rPr>
          <w:b/>
          <w:sz w:val="32"/>
          <w:lang w:val="tr-TR"/>
        </w:rPr>
      </w:pPr>
      <w:r>
        <w:rPr>
          <w:b/>
          <w:sz w:val="32"/>
          <w:lang w:val="tr-TR"/>
        </w:rPr>
        <w:t>Ek-3</w:t>
      </w:r>
    </w:p>
    <w:p w:rsidR="0086504C" w:rsidRPr="00AE41C0" w:rsidRDefault="0086504C">
      <w:pPr>
        <w:rPr>
          <w:rFonts w:ascii="Arial" w:hAnsi="Arial" w:cs="Arial"/>
          <w:b/>
          <w:bCs/>
          <w:color w:val="000000"/>
          <w:sz w:val="40"/>
          <w:szCs w:val="61"/>
          <w:lang w:val="tr-TR"/>
        </w:rPr>
      </w:pPr>
      <w:r w:rsidRPr="00AE41C0">
        <w:rPr>
          <w:rFonts w:ascii="Arial" w:hAnsi="Arial" w:cs="Arial"/>
          <w:b/>
          <w:bCs/>
          <w:color w:val="000000"/>
          <w:sz w:val="40"/>
          <w:szCs w:val="61"/>
          <w:lang w:val="tr-TR"/>
        </w:rPr>
        <w:br w:type="page"/>
      </w:r>
    </w:p>
    <w:p w:rsidR="00FF3EFE" w:rsidRPr="00AE41C0" w:rsidRDefault="00FF3EFE" w:rsidP="00FF3EFE">
      <w:pPr>
        <w:widowControl w:val="0"/>
        <w:autoSpaceDE w:val="0"/>
        <w:autoSpaceDN w:val="0"/>
        <w:adjustRightInd w:val="0"/>
        <w:spacing w:after="0" w:line="160" w:lineRule="atLeast"/>
        <w:ind w:firstLine="57"/>
        <w:jc w:val="center"/>
        <w:rPr>
          <w:rFonts w:ascii="Arial" w:hAnsi="Arial" w:cs="Arial"/>
          <w:b/>
          <w:bCs/>
          <w:color w:val="000000"/>
          <w:sz w:val="40"/>
          <w:szCs w:val="61"/>
          <w:lang w:val="tr-TR"/>
        </w:rPr>
      </w:pPr>
      <w:r w:rsidRPr="00AE41C0">
        <w:rPr>
          <w:rFonts w:ascii="Arial" w:hAnsi="Arial" w:cs="Arial"/>
          <w:b/>
          <w:bCs/>
          <w:color w:val="000000"/>
          <w:sz w:val="40"/>
          <w:szCs w:val="61"/>
          <w:lang w:val="tr-TR"/>
        </w:rPr>
        <w:lastRenderedPageBreak/>
        <w:t>Piyasa Analizi Danışmanlık Hizmet Alımı İhalesi</w:t>
      </w:r>
    </w:p>
    <w:p w:rsidR="00FF3EFE" w:rsidRDefault="00FF3EFE" w:rsidP="00FF3EFE">
      <w:pPr>
        <w:jc w:val="center"/>
        <w:rPr>
          <w:rFonts w:ascii="Arial" w:hAnsi="Arial" w:cs="Arial"/>
          <w:b/>
          <w:bCs/>
          <w:color w:val="000000"/>
          <w:sz w:val="36"/>
          <w:szCs w:val="61"/>
          <w:lang w:val="tr-TR"/>
        </w:rPr>
      </w:pPr>
      <w:r w:rsidRPr="00AE41C0">
        <w:rPr>
          <w:rFonts w:ascii="Arial" w:hAnsi="Arial" w:cs="Arial"/>
          <w:b/>
          <w:bCs/>
          <w:color w:val="000000"/>
          <w:sz w:val="36"/>
          <w:szCs w:val="61"/>
          <w:lang w:val="tr-TR"/>
        </w:rPr>
        <w:t>İş Tanımı ve Belirlenmiş Görevler</w:t>
      </w:r>
    </w:p>
    <w:p w:rsidR="00A12FDC" w:rsidRDefault="00A12FDC" w:rsidP="00FF3EFE">
      <w:pPr>
        <w:jc w:val="center"/>
        <w:rPr>
          <w:rFonts w:eastAsia="Arial" w:cs="Arial"/>
          <w:b/>
          <w:bCs/>
          <w:sz w:val="28"/>
          <w:szCs w:val="28"/>
          <w:lang w:val="tr-TR"/>
        </w:rPr>
      </w:pPr>
    </w:p>
    <w:p w:rsidR="00A12FDC" w:rsidRPr="00136257" w:rsidRDefault="00A12FDC" w:rsidP="004E7C11">
      <w:pPr>
        <w:pStyle w:val="Heading3"/>
        <w:numPr>
          <w:ilvl w:val="1"/>
          <w:numId w:val="5"/>
        </w:numPr>
        <w:rPr>
          <w:b/>
        </w:rPr>
      </w:pPr>
      <w:r w:rsidRPr="00136257">
        <w:rPr>
          <w:b/>
        </w:rPr>
        <w:t>Giriş</w:t>
      </w:r>
    </w:p>
    <w:p w:rsidR="004E7C11" w:rsidRPr="004E7C11" w:rsidRDefault="004E7C11" w:rsidP="004E7C11">
      <w:pPr>
        <w:rPr>
          <w:lang w:val="tr-TR"/>
        </w:rPr>
      </w:pPr>
    </w:p>
    <w:p w:rsidR="00A12FDC" w:rsidRDefault="00A12FDC" w:rsidP="00A12FDC">
      <w:pPr>
        <w:spacing w:after="240" w:line="276" w:lineRule="auto"/>
        <w:ind w:left="360"/>
        <w:jc w:val="both"/>
        <w:rPr>
          <w:lang w:val="tr-TR"/>
        </w:rPr>
      </w:pPr>
      <w:r w:rsidRPr="00662595">
        <w:rPr>
          <w:lang w:val="tr-TR"/>
        </w:rPr>
        <w:t>Kuzey Kıbrıs Türk Cumhuriyeti (KKTC) elektronik haberleşme sektöründe etkin rekabetin tesisi ve korunması amacıyla ilgili pazarlara yönelik pazar analizlerinin yapılması ve bu pazarlardaki etkin piyasa gücüne (EPG) sahip işletmecilerin belirlenerek gerektiği durumlarda bir takım öncül yükümlülüklere tabi kılınması 06/2012 Elektronik Haberleşme Yasası bir gereğidir.</w:t>
      </w:r>
    </w:p>
    <w:p w:rsidR="00A12FDC" w:rsidRPr="00662595" w:rsidRDefault="00A12FDC" w:rsidP="00A12FDC">
      <w:pPr>
        <w:spacing w:after="240" w:line="276" w:lineRule="auto"/>
        <w:ind w:left="360"/>
        <w:jc w:val="both"/>
        <w:rPr>
          <w:lang w:val="tr-TR"/>
        </w:rPr>
      </w:pPr>
      <w:r w:rsidRPr="00A12FDC">
        <w:rPr>
          <w:lang w:val="tr-TR"/>
        </w:rPr>
        <w:t xml:space="preserve">Bilgi Teknolojileri ve Haberleşme Kurumu (BTHK), Mobil </w:t>
      </w:r>
      <w:r w:rsidR="006267FE">
        <w:rPr>
          <w:lang w:val="tr-TR"/>
        </w:rPr>
        <w:t xml:space="preserve">Şebekelere Erişim ve </w:t>
      </w:r>
      <w:r w:rsidRPr="00A12FDC">
        <w:rPr>
          <w:lang w:val="tr-TR"/>
        </w:rPr>
        <w:t>Çağrı Başlatma</w:t>
      </w:r>
      <w:r w:rsidR="006267FE">
        <w:rPr>
          <w:lang w:val="tr-TR"/>
        </w:rPr>
        <w:t xml:space="preserve"> </w:t>
      </w:r>
      <w:r w:rsidRPr="00A12FDC">
        <w:rPr>
          <w:lang w:val="tr-TR"/>
        </w:rPr>
        <w:t>ve Mobil Genişbant piyasalarına yönelik kapsamlı bir "Piyasa Analizi" yapılması için nitelikli dış danışmanlardan teklif beklemektedir.</w:t>
      </w:r>
      <w:r>
        <w:rPr>
          <w:lang w:val="tr-TR"/>
        </w:rPr>
        <w:t xml:space="preserve"> Piyasa analizine</w:t>
      </w:r>
      <w:r w:rsidRPr="00A12FDC">
        <w:rPr>
          <w:lang w:val="tr-TR"/>
        </w:rPr>
        <w:t xml:space="preserve"> ek olarak BTHK; pazardaki agresif perakende fiyatlandırma davranışlarının, </w:t>
      </w:r>
      <w:proofErr w:type="spellStart"/>
      <w:r w:rsidR="006267FE">
        <w:rPr>
          <w:lang w:val="tr-TR"/>
        </w:rPr>
        <w:t>sektörel</w:t>
      </w:r>
      <w:proofErr w:type="spellEnd"/>
      <w:r w:rsidR="006267FE">
        <w:rPr>
          <w:lang w:val="tr-TR"/>
        </w:rPr>
        <w:t xml:space="preserve"> </w:t>
      </w:r>
      <w:r w:rsidRPr="00A12FDC">
        <w:rPr>
          <w:lang w:val="tr-TR"/>
        </w:rPr>
        <w:t>rekabet ve tüketici refahı üzerindeki etkilerinin uzmanlarca değerlendirilmesini talep etmektedir.</w:t>
      </w:r>
    </w:p>
    <w:p w:rsidR="00A12FDC" w:rsidRPr="00662595" w:rsidRDefault="00A12FDC" w:rsidP="00A12FDC">
      <w:pPr>
        <w:spacing w:after="240" w:line="276" w:lineRule="auto"/>
        <w:ind w:left="360"/>
        <w:jc w:val="both"/>
        <w:rPr>
          <w:lang w:val="tr-TR"/>
        </w:rPr>
      </w:pPr>
      <w:r w:rsidRPr="00662595">
        <w:rPr>
          <w:lang w:val="tr-TR"/>
        </w:rPr>
        <w:t xml:space="preserve">Kuzey Kıbrıs Türk Cumhuriyeti (KKTC) coğrafyası içerisinde bulunan </w:t>
      </w:r>
      <w:r w:rsidR="006267FE" w:rsidRPr="00A12FDC">
        <w:rPr>
          <w:lang w:val="tr-TR"/>
        </w:rPr>
        <w:t xml:space="preserve">Mobil </w:t>
      </w:r>
      <w:r w:rsidR="006267FE">
        <w:rPr>
          <w:lang w:val="tr-TR"/>
        </w:rPr>
        <w:t xml:space="preserve">Şebekelere Erişim ve </w:t>
      </w:r>
      <w:r w:rsidR="006267FE" w:rsidRPr="00A12FDC">
        <w:rPr>
          <w:lang w:val="tr-TR"/>
        </w:rPr>
        <w:t>Çağrı Başlatma</w:t>
      </w:r>
      <w:r w:rsidR="006267FE">
        <w:rPr>
          <w:lang w:val="tr-TR"/>
        </w:rPr>
        <w:t xml:space="preserve"> </w:t>
      </w:r>
      <w:r>
        <w:rPr>
          <w:lang w:val="tr-TR"/>
        </w:rPr>
        <w:t xml:space="preserve">ve Mobil </w:t>
      </w:r>
      <w:r w:rsidRPr="00662595">
        <w:rPr>
          <w:lang w:val="tr-TR"/>
        </w:rPr>
        <w:t>Genişbant Erişim Pazar</w:t>
      </w:r>
      <w:r>
        <w:rPr>
          <w:lang w:val="tr-TR"/>
        </w:rPr>
        <w:t>lar</w:t>
      </w:r>
      <w:r w:rsidRPr="00662595">
        <w:rPr>
          <w:lang w:val="tr-TR"/>
        </w:rPr>
        <w:t xml:space="preserve">ı için </w:t>
      </w:r>
      <w:r>
        <w:rPr>
          <w:lang w:val="tr-TR"/>
        </w:rPr>
        <w:t>üçüncü</w:t>
      </w:r>
      <w:r w:rsidRPr="00662595">
        <w:rPr>
          <w:lang w:val="tr-TR"/>
        </w:rPr>
        <w:t xml:space="preserve"> kez piyasa analizi yapılacaktır. </w:t>
      </w:r>
    </w:p>
    <w:p w:rsidR="00A12FDC" w:rsidRDefault="00A12FDC" w:rsidP="00A12FDC">
      <w:pPr>
        <w:rPr>
          <w:lang w:val="tr-TR"/>
        </w:rPr>
      </w:pPr>
    </w:p>
    <w:p w:rsidR="00AE41C0" w:rsidRPr="00136257" w:rsidRDefault="00AE41C0" w:rsidP="00AE41C0">
      <w:pPr>
        <w:pStyle w:val="Heading3"/>
        <w:numPr>
          <w:ilvl w:val="1"/>
          <w:numId w:val="5"/>
        </w:numPr>
        <w:rPr>
          <w:b/>
        </w:rPr>
      </w:pPr>
      <w:r w:rsidRPr="00136257">
        <w:rPr>
          <w:b/>
        </w:rPr>
        <w:t xml:space="preserve">Mobil </w:t>
      </w:r>
      <w:r w:rsidR="0099598E" w:rsidRPr="00136257">
        <w:rPr>
          <w:b/>
        </w:rPr>
        <w:t>Genişbant Erişim Pazarı</w:t>
      </w:r>
    </w:p>
    <w:p w:rsidR="00AE41C0" w:rsidRPr="00AE41C0" w:rsidRDefault="00AE41C0" w:rsidP="00AE41C0">
      <w:pPr>
        <w:rPr>
          <w:lang w:val="tr-TR"/>
        </w:rPr>
      </w:pPr>
    </w:p>
    <w:p w:rsidR="0099598E" w:rsidRPr="00662595" w:rsidRDefault="00A12FDC" w:rsidP="0099598E">
      <w:pPr>
        <w:spacing w:after="240" w:line="276" w:lineRule="auto"/>
        <w:ind w:left="360"/>
        <w:jc w:val="both"/>
        <w:rPr>
          <w:lang w:val="tr-TR"/>
        </w:rPr>
      </w:pPr>
      <w:r w:rsidRPr="00662595">
        <w:rPr>
          <w:lang w:val="tr-TR"/>
        </w:rPr>
        <w:t xml:space="preserve">Teknolojik gelişmeler </w:t>
      </w:r>
      <w:proofErr w:type="spellStart"/>
      <w:r w:rsidRPr="00662595">
        <w:rPr>
          <w:lang w:val="tr-TR"/>
        </w:rPr>
        <w:t>genişbant</w:t>
      </w:r>
      <w:proofErr w:type="spellEnd"/>
      <w:r w:rsidRPr="00662595">
        <w:rPr>
          <w:lang w:val="tr-TR"/>
        </w:rPr>
        <w:t xml:space="preserve"> erişime olan ihtiyacı artırmaktadır.</w:t>
      </w:r>
      <w:r>
        <w:rPr>
          <w:lang w:val="tr-TR"/>
        </w:rPr>
        <w:t xml:space="preserve"> </w:t>
      </w:r>
      <w:r w:rsidR="0099598E">
        <w:rPr>
          <w:lang w:val="tr-TR"/>
        </w:rPr>
        <w:t xml:space="preserve">Mobil </w:t>
      </w:r>
      <w:r w:rsidR="0099598E" w:rsidRPr="00662595">
        <w:rPr>
          <w:lang w:val="tr-TR"/>
        </w:rPr>
        <w:t xml:space="preserve">Genişbant kavramı genellikle çevirmeli bağlantıdan daha yüksek hızda erişim sağlayan </w:t>
      </w:r>
      <w:r>
        <w:rPr>
          <w:lang w:val="tr-TR"/>
        </w:rPr>
        <w:t>4</w:t>
      </w:r>
      <w:r w:rsidR="0099598E" w:rsidRPr="00662595">
        <w:rPr>
          <w:lang w:val="tr-TR"/>
        </w:rPr>
        <w:t>. Nesil (</w:t>
      </w:r>
      <w:r>
        <w:rPr>
          <w:lang w:val="tr-TR"/>
        </w:rPr>
        <w:t>4G</w:t>
      </w:r>
      <w:r w:rsidR="0099598E" w:rsidRPr="00662595">
        <w:rPr>
          <w:lang w:val="tr-TR"/>
        </w:rPr>
        <w:t xml:space="preserve">) mobil internet aracılığıyla yapılan yüksek hızlı erişim için kullanılmaktadır. </w:t>
      </w:r>
      <w:r w:rsidR="0099598E">
        <w:rPr>
          <w:lang w:val="tr-TR"/>
        </w:rPr>
        <w:t xml:space="preserve">Kurumumuz tarafından Kasım 2022 tarihinde 4 ve 5. Nesil mobil internet yetkilendirilmeleri verilmiş olup </w:t>
      </w:r>
      <w:r>
        <w:rPr>
          <w:lang w:val="tr-TR"/>
        </w:rPr>
        <w:t xml:space="preserve">4G hizmeti </w:t>
      </w:r>
      <w:r w:rsidR="0099598E">
        <w:rPr>
          <w:lang w:val="tr-TR"/>
        </w:rPr>
        <w:t xml:space="preserve">2023 yılında devreye </w:t>
      </w:r>
      <w:r>
        <w:rPr>
          <w:lang w:val="tr-TR"/>
        </w:rPr>
        <w:t>alınmış, 5G hizmetlerinin de 2026 yılı sonunda devreye alınması</w:t>
      </w:r>
      <w:r w:rsidR="0099598E">
        <w:rPr>
          <w:lang w:val="tr-TR"/>
        </w:rPr>
        <w:t xml:space="preserve"> öngörülmektedir. Piyasa analizini hazırlayacak yüklenicinin</w:t>
      </w:r>
      <w:r w:rsidR="0099598E" w:rsidRPr="00662595">
        <w:rPr>
          <w:lang w:val="tr-TR"/>
        </w:rPr>
        <w:t xml:space="preserve"> ülkemiz koşullarını göz önünde bulundurarak </w:t>
      </w:r>
      <w:proofErr w:type="spellStart"/>
      <w:r w:rsidR="0099598E" w:rsidRPr="00662595">
        <w:rPr>
          <w:lang w:val="tr-TR"/>
        </w:rPr>
        <w:t>genişbant</w:t>
      </w:r>
      <w:proofErr w:type="spellEnd"/>
      <w:r w:rsidR="0099598E" w:rsidRPr="00662595">
        <w:rPr>
          <w:lang w:val="tr-TR"/>
        </w:rPr>
        <w:t xml:space="preserve"> tanımını KKTC’deki elektronik haberleşme sağlayıcıları ve sektörü inceledikten sonra belirlemesi gerekmektedir.</w:t>
      </w:r>
    </w:p>
    <w:p w:rsidR="00D71E43" w:rsidRPr="00AE41C0" w:rsidRDefault="00FF3EFE" w:rsidP="00D71E43">
      <w:pPr>
        <w:pStyle w:val="Heading3"/>
        <w:numPr>
          <w:ilvl w:val="2"/>
          <w:numId w:val="5"/>
        </w:numPr>
        <w:ind w:hanging="294"/>
      </w:pPr>
      <w:r w:rsidRPr="00AE41C0">
        <w:t xml:space="preserve"> Belirlenmiş Görevler</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İhtiyaç duyulacak bilgilerin toplanması,</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 xml:space="preserve">Üçlü kriter testinin uygulanması, </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 xml:space="preserve">Etkin piyasa gücüne (EPG) sahip olan oyuncuların belirlenmesi, </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Gerekli görülen yükümlülüklerin gerekçeleri ile hazırlanması,</w:t>
      </w:r>
    </w:p>
    <w:p w:rsidR="00FF3EFE" w:rsidRPr="00AE41C0" w:rsidRDefault="00FF3EFE" w:rsidP="00FF3EFE">
      <w:pPr>
        <w:numPr>
          <w:ilvl w:val="0"/>
          <w:numId w:val="3"/>
        </w:numPr>
        <w:spacing w:after="240" w:line="276" w:lineRule="auto"/>
        <w:ind w:left="1221" w:hanging="501"/>
        <w:jc w:val="both"/>
        <w:rPr>
          <w:lang w:val="tr-TR"/>
        </w:rPr>
      </w:pPr>
      <w:r w:rsidRPr="00AE41C0">
        <w:rPr>
          <w:lang w:val="tr-TR"/>
        </w:rPr>
        <w:t>Taslak piyasa analizi raporunun oluşturulması</w:t>
      </w:r>
      <w:r w:rsidR="00791DB6">
        <w:rPr>
          <w:lang w:val="tr-TR"/>
        </w:rPr>
        <w:t>.</w:t>
      </w:r>
    </w:p>
    <w:p w:rsidR="00FF3EFE" w:rsidRPr="00AE41C0" w:rsidRDefault="00FF3EFE" w:rsidP="00FF3EFE">
      <w:pPr>
        <w:spacing w:after="240" w:line="276" w:lineRule="auto"/>
        <w:ind w:left="284"/>
        <w:jc w:val="both"/>
        <w:rPr>
          <w:lang w:val="tr-TR"/>
        </w:rPr>
      </w:pPr>
      <w:r w:rsidRPr="00AE41C0">
        <w:rPr>
          <w:lang w:val="tr-TR"/>
        </w:rPr>
        <w:t>6/2012 sayılı Elektronik Haberleşme Yasası ve Yasa altında yapılmış olan Erişim, Arabağlantı, Piyasa Analizi ve Tarifeler Tüzüğü kapsamında hazırlanan taslak piyasa analizinin;</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lastRenderedPageBreak/>
        <w:t>30 iş günü boyunca kamuoyu görüşüne açılması</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 xml:space="preserve">Gelen görüşlerin taslak piyasa analizi raporu içerisinde gerekçelendirilerek cevaplandırılması ve ihtiyaç duyulursa değişikliklerin yapılması, </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 xml:space="preserve">Kamuoyu görüşlerini içeren piyasa analizi raporunun oluşturulması, </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 xml:space="preserve">Nihai piyasa analizi raporunun hazırlanması </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EPG tespit edilmesi durumunda, her bir yükümlülük için Kurum’un alacağı tedbirlerin ve uygulamaya koyacağı kararların belirlenmesi</w:t>
      </w:r>
      <w:r w:rsidR="00791DB6">
        <w:rPr>
          <w:lang w:val="tr-TR"/>
        </w:rPr>
        <w:t>.</w:t>
      </w:r>
    </w:p>
    <w:p w:rsidR="00FF3EFE" w:rsidRPr="00AE41C0" w:rsidRDefault="00FF3EFE" w:rsidP="00FF3EFE">
      <w:pPr>
        <w:rPr>
          <w:lang w:val="tr-TR"/>
        </w:rPr>
      </w:pPr>
    </w:p>
    <w:p w:rsidR="0099598E" w:rsidRPr="00136257" w:rsidRDefault="0099598E" w:rsidP="0099598E">
      <w:pPr>
        <w:pStyle w:val="Heading3"/>
        <w:numPr>
          <w:ilvl w:val="1"/>
          <w:numId w:val="5"/>
        </w:numPr>
        <w:rPr>
          <w:b/>
        </w:rPr>
      </w:pPr>
      <w:r w:rsidRPr="00136257">
        <w:rPr>
          <w:b/>
        </w:rPr>
        <w:t>Mobil Şebekelere Erişim ve Çağrı Başlatma Pazarı</w:t>
      </w:r>
    </w:p>
    <w:p w:rsidR="00D71E43" w:rsidRPr="00AE41C0" w:rsidRDefault="00D71E43" w:rsidP="00D71E43">
      <w:pPr>
        <w:rPr>
          <w:lang w:val="tr-TR"/>
        </w:rPr>
      </w:pPr>
    </w:p>
    <w:p w:rsidR="0099598E" w:rsidRPr="00FF3EFE" w:rsidRDefault="0099598E" w:rsidP="0099598E">
      <w:pPr>
        <w:spacing w:after="240" w:line="276" w:lineRule="auto"/>
        <w:ind w:left="360"/>
        <w:jc w:val="both"/>
        <w:rPr>
          <w:lang w:val="tr-TR"/>
        </w:rPr>
      </w:pPr>
      <w:r w:rsidRPr="00FF3EFE">
        <w:rPr>
          <w:lang w:val="tr-TR"/>
        </w:rPr>
        <w:t>Perakende düzeyde mobil haberleşme hizmetinin sunulabilmesi için gerekli olan temel hizmetler arasında mobil çağrı sonlandırma hizmetinin yanı sıra mobil şebekelere erişim ve çağrı başlatma hizmetleri yer almaktadır. Mobil çağrı başlatma, kısaca mobil haberleşmenin bir mobil platformdan başlatılması sürecini ifade etmektedir. Kullanıcı tarafından aranmak istenen telefon numarasının tuşlanarak “ara/gönder” düğmesine basılması ile birlikte mobil şebekeye erişim sinyallerinin mobil cihaz tarafından iletilmesi vasıtasıyla mobil şebekede çağrı başlatma tesis edilmeye başlanmış olmaktadır.</w:t>
      </w:r>
    </w:p>
    <w:p w:rsidR="0099598E" w:rsidRPr="00FF3EFE" w:rsidRDefault="0099598E" w:rsidP="0099598E">
      <w:pPr>
        <w:spacing w:after="240" w:line="276" w:lineRule="auto"/>
        <w:ind w:left="360"/>
        <w:jc w:val="both"/>
        <w:rPr>
          <w:lang w:val="tr-TR"/>
        </w:rPr>
      </w:pPr>
      <w:r w:rsidRPr="00FF3EFE">
        <w:rPr>
          <w:lang w:val="tr-TR"/>
        </w:rPr>
        <w:t>Mobil haberleşme hizmetinin sunulabilmesi için gerekli olan temel hizmetlerden biri olan mobil şebekelere erişim ve çağrı başlatma hizmetleri, Lisans Sözleşmeleri çerçevesinde son kullanıcıya radyo erişim imkânına sahip olan mobil haberleşme sağlayıcılar tarafından sunulmaktadır. Söz konusu haberleşme sağlayıcılar ülkemizde, GSM/IMT-2000/UMTS işletmecisi olarak faaliyet gösteren</w:t>
      </w:r>
    </w:p>
    <w:p w:rsidR="0099598E" w:rsidRPr="00FF3EFE" w:rsidRDefault="0099598E" w:rsidP="008E013C">
      <w:pPr>
        <w:spacing w:after="0" w:line="276" w:lineRule="auto"/>
        <w:ind w:left="360"/>
        <w:jc w:val="both"/>
        <w:rPr>
          <w:lang w:val="tr-TR"/>
        </w:rPr>
      </w:pPr>
      <w:r w:rsidRPr="00FF3EFE">
        <w:rPr>
          <w:lang w:val="tr-TR"/>
        </w:rPr>
        <w:t>•  Kıbrıs Mobil Telekomünikasyon Ltd. (Turkcell) ve</w:t>
      </w:r>
    </w:p>
    <w:p w:rsidR="0099598E" w:rsidRPr="00FF3EFE" w:rsidRDefault="0099598E" w:rsidP="0099598E">
      <w:pPr>
        <w:spacing w:after="240" w:line="276" w:lineRule="auto"/>
        <w:ind w:left="360"/>
        <w:jc w:val="both"/>
        <w:rPr>
          <w:lang w:val="tr-TR"/>
        </w:rPr>
      </w:pPr>
      <w:r w:rsidRPr="00FF3EFE">
        <w:rPr>
          <w:lang w:val="tr-TR"/>
        </w:rPr>
        <w:t xml:space="preserve">• </w:t>
      </w:r>
      <w:proofErr w:type="spellStart"/>
      <w:r w:rsidRPr="00FF3EFE">
        <w:rPr>
          <w:lang w:val="tr-TR"/>
        </w:rPr>
        <w:t>Vodafone</w:t>
      </w:r>
      <w:proofErr w:type="spellEnd"/>
      <w:r w:rsidRPr="00FF3EFE">
        <w:rPr>
          <w:lang w:val="tr-TR"/>
        </w:rPr>
        <w:t xml:space="preserve"> Mobile Operations Ltd. (Telsim)’</w:t>
      </w:r>
      <w:proofErr w:type="spellStart"/>
      <w:r w:rsidRPr="00FF3EFE">
        <w:rPr>
          <w:lang w:val="tr-TR"/>
        </w:rPr>
        <w:t>dir</w:t>
      </w:r>
      <w:proofErr w:type="spellEnd"/>
      <w:r w:rsidRPr="00FF3EFE">
        <w:rPr>
          <w:lang w:val="tr-TR"/>
        </w:rPr>
        <w:t>.</w:t>
      </w:r>
    </w:p>
    <w:p w:rsidR="0099598E" w:rsidRPr="00FF3EFE" w:rsidRDefault="0099598E" w:rsidP="0099598E">
      <w:pPr>
        <w:spacing w:after="240" w:line="276" w:lineRule="auto"/>
        <w:ind w:left="360"/>
        <w:jc w:val="both"/>
        <w:rPr>
          <w:lang w:val="tr-TR"/>
        </w:rPr>
      </w:pPr>
      <w:r w:rsidRPr="00FF3EFE">
        <w:rPr>
          <w:lang w:val="tr-TR"/>
        </w:rPr>
        <w:t>Mobil şebekelere erişim ve çağrı başlatma hizmeti, hâlihazırda yukarıda anılan mobil şebeke işletmecileri tarafından toptan seviyede kendi perakende kullanımlarına yönelik olarak sunulmaktadırlar.</w:t>
      </w:r>
      <w:r>
        <w:rPr>
          <w:lang w:val="tr-TR"/>
        </w:rPr>
        <w:t xml:space="preserve"> 2021 ve 2023 yılında yapılan Piyasa Analizi sonucunda </w:t>
      </w:r>
      <w:r w:rsidRPr="00FF3EFE">
        <w:rPr>
          <w:lang w:val="tr-TR"/>
        </w:rPr>
        <w:t xml:space="preserve">Kıbrıs Mobil Telekomünikasyon Ltd. (Turkcell) </w:t>
      </w:r>
      <w:r>
        <w:rPr>
          <w:lang w:val="tr-TR"/>
        </w:rPr>
        <w:t xml:space="preserve">etkin piyasa gücüne sahip haberleşme sağlayıcı olarak tespit edilerek, haberleşme sağlayıcıya yükümlülük getirilmiştir. </w:t>
      </w:r>
    </w:p>
    <w:p w:rsidR="00FF3EFE" w:rsidRPr="00AE41C0" w:rsidRDefault="00FF3EFE" w:rsidP="00D71E43">
      <w:pPr>
        <w:pStyle w:val="Heading3"/>
        <w:numPr>
          <w:ilvl w:val="2"/>
          <w:numId w:val="5"/>
        </w:numPr>
        <w:ind w:hanging="436"/>
      </w:pPr>
      <w:r w:rsidRPr="00AE41C0">
        <w:t>Belirlenmiş Görevler</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İhtiyaç duyulacak bilgilerin toplanması,</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 xml:space="preserve">Üçlü kriter testinin uygulanması, </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 xml:space="preserve">Etkin piyasa gücüne (EPG) sahip olan oyuncuların belirlenmesi, </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Gerekli görülen yükümlülüklerin gerekçeleri ile hazırlanması,</w:t>
      </w:r>
    </w:p>
    <w:p w:rsidR="00FF3EFE" w:rsidRPr="00AE41C0" w:rsidRDefault="00FF3EFE" w:rsidP="00FF3EFE">
      <w:pPr>
        <w:numPr>
          <w:ilvl w:val="0"/>
          <w:numId w:val="3"/>
        </w:numPr>
        <w:spacing w:after="240" w:line="276" w:lineRule="auto"/>
        <w:ind w:left="1221" w:hanging="501"/>
        <w:jc w:val="both"/>
        <w:rPr>
          <w:lang w:val="tr-TR"/>
        </w:rPr>
      </w:pPr>
      <w:r w:rsidRPr="00AE41C0">
        <w:rPr>
          <w:lang w:val="tr-TR"/>
        </w:rPr>
        <w:t>Taslak piyasa analizi raporunun oluşturulması</w:t>
      </w:r>
    </w:p>
    <w:p w:rsidR="00FF3EFE" w:rsidRPr="00AE41C0" w:rsidRDefault="00FF3EFE" w:rsidP="00FF3EFE">
      <w:pPr>
        <w:spacing w:after="240" w:line="276" w:lineRule="auto"/>
        <w:ind w:left="284"/>
        <w:jc w:val="both"/>
        <w:rPr>
          <w:lang w:val="tr-TR"/>
        </w:rPr>
      </w:pPr>
      <w:r w:rsidRPr="00AE41C0">
        <w:rPr>
          <w:lang w:val="tr-TR"/>
        </w:rPr>
        <w:t>6/2012 sayılı Elektronik Haberleşme Yasası ve Yasa altında yapılmış olan Erişim, Arabağlantı, Piyasa Analizi ve Tarifeler Tüzüğü kapsamında hazırlanan taslak piyasa analizinin;</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lastRenderedPageBreak/>
        <w:t>30 iş günü boyunca kamuoyu görüşüne açılması</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 xml:space="preserve">Gelen görüşlerin taslak piyasa analizi raporu içerisinde gerekçelendirilerek cevaplandırılması ve ihtiyaç duyulursa değişikliklerin yapılması, </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 xml:space="preserve">Kamuoyu görüşlerini içeren piyasa analizi raporunun oluşturulması, </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 xml:space="preserve">Nihai piyasa analizi raporunun hazırlanması </w:t>
      </w:r>
    </w:p>
    <w:p w:rsidR="00FF3EFE" w:rsidRPr="00AE41C0" w:rsidRDefault="00FF3EFE" w:rsidP="00FF3EFE">
      <w:pPr>
        <w:numPr>
          <w:ilvl w:val="0"/>
          <w:numId w:val="3"/>
        </w:numPr>
        <w:spacing w:after="0" w:line="276" w:lineRule="auto"/>
        <w:ind w:left="1221" w:hanging="501"/>
        <w:jc w:val="both"/>
        <w:rPr>
          <w:lang w:val="tr-TR"/>
        </w:rPr>
      </w:pPr>
      <w:r w:rsidRPr="00AE41C0">
        <w:rPr>
          <w:lang w:val="tr-TR"/>
        </w:rPr>
        <w:t>EPG tespit edilmesi durumunda, her bir yükümlülük için Kurum’un alacağı tedbirlerin ve uygulamaya koyacağı kararların belirlenmesi</w:t>
      </w:r>
    </w:p>
    <w:p w:rsidR="00FF3EFE" w:rsidRPr="00AE41C0" w:rsidRDefault="00FF3EFE" w:rsidP="00FF3EFE">
      <w:pPr>
        <w:spacing w:after="0" w:line="276" w:lineRule="auto"/>
        <w:jc w:val="both"/>
        <w:rPr>
          <w:lang w:val="tr-TR"/>
        </w:rPr>
      </w:pPr>
    </w:p>
    <w:p w:rsidR="00986F9F" w:rsidRDefault="00986F9F" w:rsidP="00986F9F">
      <w:pPr>
        <w:pStyle w:val="ListParagraph"/>
        <w:widowControl w:val="0"/>
        <w:spacing w:after="0" w:line="23" w:lineRule="atLeast"/>
        <w:ind w:left="1146"/>
        <w:jc w:val="both"/>
        <w:rPr>
          <w:rFonts w:cs="Arial"/>
        </w:rPr>
      </w:pPr>
    </w:p>
    <w:p w:rsidR="009E1C58" w:rsidRPr="00136257" w:rsidRDefault="009E1C58" w:rsidP="00136257">
      <w:pPr>
        <w:pStyle w:val="Heading3"/>
        <w:numPr>
          <w:ilvl w:val="1"/>
          <w:numId w:val="5"/>
        </w:numPr>
        <w:ind w:left="709" w:hanging="709"/>
        <w:rPr>
          <w:b/>
        </w:rPr>
      </w:pPr>
      <w:bookmarkStart w:id="0" w:name="_Hlk219387952"/>
      <w:r w:rsidRPr="00136257">
        <w:rPr>
          <w:b/>
        </w:rPr>
        <w:t xml:space="preserve">Mobil Perakende Piyasasındaki </w:t>
      </w:r>
      <w:r w:rsidR="00A565D8" w:rsidRPr="00136257">
        <w:rPr>
          <w:b/>
        </w:rPr>
        <w:t xml:space="preserve">Numarası Taşınan Abonelere Dönük </w:t>
      </w:r>
      <w:r w:rsidRPr="00136257">
        <w:rPr>
          <w:b/>
        </w:rPr>
        <w:t>Fiyatlandırma</w:t>
      </w:r>
      <w:r>
        <w:t xml:space="preserve"> </w:t>
      </w:r>
      <w:r w:rsidR="00B60909" w:rsidRPr="00136257">
        <w:rPr>
          <w:b/>
        </w:rPr>
        <w:t>Uygulamaların</w:t>
      </w:r>
      <w:bookmarkEnd w:id="0"/>
      <w:r w:rsidR="00B60909" w:rsidRPr="00136257">
        <w:rPr>
          <w:b/>
        </w:rPr>
        <w:t>ın</w:t>
      </w:r>
      <w:r w:rsidRPr="00136257">
        <w:rPr>
          <w:b/>
        </w:rPr>
        <w:t xml:space="preserve"> Değerlendirilmesi</w:t>
      </w:r>
    </w:p>
    <w:p w:rsidR="009E1C58" w:rsidRDefault="009E1C58" w:rsidP="00986F9F">
      <w:pPr>
        <w:pStyle w:val="ListParagraph"/>
        <w:widowControl w:val="0"/>
        <w:spacing w:after="0" w:line="23" w:lineRule="atLeast"/>
        <w:ind w:left="1146"/>
        <w:jc w:val="both"/>
        <w:rPr>
          <w:rFonts w:cs="Arial"/>
        </w:rPr>
      </w:pPr>
    </w:p>
    <w:p w:rsidR="00286F24" w:rsidRPr="00286F24" w:rsidRDefault="009E1C58" w:rsidP="00286F24">
      <w:pPr>
        <w:pStyle w:val="ListParagraph"/>
        <w:widowControl w:val="0"/>
        <w:spacing w:after="0" w:line="276" w:lineRule="auto"/>
        <w:ind w:left="284"/>
        <w:jc w:val="both"/>
      </w:pPr>
      <w:r w:rsidRPr="00286F24">
        <w:t xml:space="preserve">BTHK, pazardaki agresif perakende fiyatlandırma davranışlarının, rekabet ve tüketici refahı üzerindeki etkilerinin uzmanlarca değerlendirilmesini talep etmektedir. </w:t>
      </w:r>
      <w:r w:rsidR="00286F24" w:rsidRPr="00286F24">
        <w:t>Numara Taşınabilirliği</w:t>
      </w:r>
      <w:r w:rsidR="00FD5A70">
        <w:t xml:space="preserve"> Sistemi</w:t>
      </w:r>
      <w:r w:rsidR="00286F24" w:rsidRPr="00286F24">
        <w:t>’nin (</w:t>
      </w:r>
      <w:r w:rsidR="00FD5A70">
        <w:t>NTS</w:t>
      </w:r>
      <w:r w:rsidR="00286F24" w:rsidRPr="00286F24">
        <w:t xml:space="preserve">) hayata geçmesiyle birlikte, KKTC mobil pazarında yeni abone kazanımına yönelik "agresif" fiyatlandırma kampanyalarında artış gözlemlenmiştir. </w:t>
      </w:r>
      <w:r w:rsidR="00FD5A70">
        <w:t xml:space="preserve">Mobil </w:t>
      </w:r>
      <w:r w:rsidR="00286F24" w:rsidRPr="00286F24">
        <w:t xml:space="preserve">operatörlerin, rakip operatörden geçiş yapacak abonelere mevcut müşterilere kıyasla %70’e varan indirimler sunduğu rapor </w:t>
      </w:r>
      <w:r w:rsidR="00FD5A70">
        <w:t>edilmektedir</w:t>
      </w:r>
      <w:r w:rsidR="00286F24" w:rsidRPr="00286F24">
        <w:t xml:space="preserve">. </w:t>
      </w:r>
    </w:p>
    <w:p w:rsidR="00286F24" w:rsidRPr="00286F24" w:rsidRDefault="00286F24" w:rsidP="00286F24">
      <w:pPr>
        <w:pStyle w:val="ListParagraph"/>
        <w:widowControl w:val="0"/>
        <w:spacing w:after="0" w:line="276" w:lineRule="auto"/>
        <w:ind w:left="284"/>
        <w:jc w:val="both"/>
      </w:pPr>
    </w:p>
    <w:p w:rsidR="009E1C58" w:rsidRDefault="00286F24" w:rsidP="00286F24">
      <w:pPr>
        <w:pStyle w:val="ListParagraph"/>
        <w:widowControl w:val="0"/>
        <w:spacing w:after="0" w:line="276" w:lineRule="auto"/>
        <w:ind w:left="284"/>
        <w:jc w:val="both"/>
      </w:pPr>
      <w:r w:rsidRPr="00286F24">
        <w:t>BTHK; bu uygulamaların sağlıklı bir rekabetin göstergesi mi olduğunu, yoksa Etkin Piyasa Gücü (EPG) yükümlülükleri veya "simetrik" tüketici koruma düzenlemeleri yoluyla müdahale gerektirip gerektirmediğini değerlendirme</w:t>
      </w:r>
      <w:r w:rsidR="00A565D8">
        <w:t>sini</w:t>
      </w:r>
      <w:r w:rsidRPr="00286F24">
        <w:t xml:space="preserve"> istemektedir.</w:t>
      </w:r>
    </w:p>
    <w:p w:rsidR="00FD5A70" w:rsidRDefault="00FD5A70" w:rsidP="00286F24">
      <w:pPr>
        <w:pStyle w:val="ListParagraph"/>
        <w:widowControl w:val="0"/>
        <w:spacing w:after="0" w:line="276" w:lineRule="auto"/>
        <w:ind w:left="284"/>
        <w:jc w:val="both"/>
      </w:pPr>
    </w:p>
    <w:p w:rsidR="00FD5A70" w:rsidRPr="00AE41C0" w:rsidRDefault="00FD5A70" w:rsidP="00FD5A70">
      <w:pPr>
        <w:pStyle w:val="Heading3"/>
        <w:numPr>
          <w:ilvl w:val="2"/>
          <w:numId w:val="5"/>
        </w:numPr>
        <w:ind w:hanging="436"/>
      </w:pPr>
      <w:r w:rsidRPr="00AE41C0">
        <w:t>Belirlenmiş Görevler</w:t>
      </w:r>
    </w:p>
    <w:p w:rsidR="00FD5A70" w:rsidRDefault="00FD5A70" w:rsidP="00286F24">
      <w:pPr>
        <w:pStyle w:val="ListParagraph"/>
        <w:widowControl w:val="0"/>
        <w:spacing w:after="0" w:line="276" w:lineRule="auto"/>
        <w:ind w:left="284"/>
        <w:jc w:val="both"/>
      </w:pPr>
    </w:p>
    <w:p w:rsidR="00FD5A70" w:rsidRDefault="00FD5A70" w:rsidP="00FD5A70">
      <w:pPr>
        <w:pStyle w:val="xmsonormal"/>
        <w:numPr>
          <w:ilvl w:val="0"/>
          <w:numId w:val="6"/>
        </w:numPr>
        <w:shd w:val="clear" w:color="auto" w:fill="FFFFFF"/>
        <w:spacing w:before="0" w:beforeAutospacing="0" w:after="0" w:afterAutospacing="0" w:line="276" w:lineRule="auto"/>
        <w:rPr>
          <w:rFonts w:ascii="Calibri" w:hAnsi="Calibri" w:cs="Calibri"/>
          <w:color w:val="212121"/>
          <w:sz w:val="22"/>
          <w:szCs w:val="22"/>
        </w:rPr>
      </w:pPr>
      <w:r>
        <w:rPr>
          <w:rFonts w:ascii="Calibri" w:hAnsi="Calibri" w:cs="Calibri"/>
          <w:b/>
          <w:bCs/>
          <w:color w:val="212121"/>
          <w:sz w:val="22"/>
          <w:szCs w:val="22"/>
        </w:rPr>
        <w:t>Paydaş Görüşmeleri:</w:t>
      </w:r>
      <w:r>
        <w:rPr>
          <w:rFonts w:ascii="Calibri" w:hAnsi="Calibri" w:cs="Calibri"/>
          <w:color w:val="212121"/>
          <w:sz w:val="22"/>
          <w:szCs w:val="22"/>
        </w:rPr>
        <w:t xml:space="preserve"> Başlıca piyasa oyuncularının rekabet sorunlarına ilişkin görüşlerinin alınması. </w:t>
      </w:r>
      <w:r w:rsidR="005C310E">
        <w:rPr>
          <w:rFonts w:ascii="Calibri" w:hAnsi="Calibri" w:cs="Calibri"/>
          <w:color w:val="212121"/>
          <w:sz w:val="22"/>
          <w:szCs w:val="22"/>
        </w:rPr>
        <w:t>Mobil operatörlerin</w:t>
      </w:r>
      <w:r>
        <w:rPr>
          <w:rFonts w:ascii="Calibri" w:hAnsi="Calibri" w:cs="Calibri"/>
          <w:color w:val="212121"/>
          <w:sz w:val="22"/>
          <w:szCs w:val="22"/>
        </w:rPr>
        <w:t xml:space="preserve"> müdahale </w:t>
      </w:r>
      <w:r w:rsidR="005C310E">
        <w:rPr>
          <w:rFonts w:ascii="Calibri" w:hAnsi="Calibri" w:cs="Calibri"/>
          <w:color w:val="212121"/>
          <w:sz w:val="22"/>
          <w:szCs w:val="22"/>
        </w:rPr>
        <w:t xml:space="preserve">ve/veya regülasyon </w:t>
      </w:r>
      <w:r>
        <w:rPr>
          <w:rFonts w:ascii="Calibri" w:hAnsi="Calibri" w:cs="Calibri"/>
          <w:color w:val="212121"/>
          <w:sz w:val="22"/>
          <w:szCs w:val="22"/>
        </w:rPr>
        <w:t>taleplerinin kamu yararıyla örtüşüp örtüşmediğinin analiz edilmesi.</w:t>
      </w:r>
    </w:p>
    <w:p w:rsidR="00FD5A70" w:rsidRPr="00C36AA4" w:rsidRDefault="00FD5A70" w:rsidP="00F273CF">
      <w:pPr>
        <w:pStyle w:val="xmsonormal"/>
        <w:numPr>
          <w:ilvl w:val="0"/>
          <w:numId w:val="6"/>
        </w:numPr>
        <w:shd w:val="clear" w:color="auto" w:fill="FFFFFF"/>
        <w:spacing w:before="0" w:beforeAutospacing="0" w:after="0" w:afterAutospacing="0" w:line="276" w:lineRule="auto"/>
        <w:rPr>
          <w:rFonts w:ascii="Calibri" w:hAnsi="Calibri" w:cs="Calibri"/>
          <w:color w:val="212121"/>
          <w:sz w:val="22"/>
          <w:szCs w:val="22"/>
        </w:rPr>
      </w:pPr>
      <w:r w:rsidRPr="00C36AA4">
        <w:rPr>
          <w:rFonts w:ascii="Calibri" w:hAnsi="Calibri" w:cs="Calibri"/>
          <w:b/>
          <w:bCs/>
          <w:color w:val="212121"/>
          <w:sz w:val="22"/>
          <w:szCs w:val="22"/>
        </w:rPr>
        <w:t>Fiyatlandırma Davranışı Analizi:</w:t>
      </w:r>
      <w:r w:rsidRPr="00C36AA4">
        <w:rPr>
          <w:rFonts w:ascii="Calibri" w:hAnsi="Calibri" w:cs="Calibri"/>
          <w:color w:val="212121"/>
          <w:sz w:val="22"/>
          <w:szCs w:val="22"/>
        </w:rPr>
        <w:t xml:space="preserve"> Devam eden derin indirim kampanyalarının değerlendirilmesi. </w:t>
      </w:r>
      <w:r w:rsidR="00C36AA4" w:rsidRPr="00C36AA4">
        <w:rPr>
          <w:rFonts w:ascii="Calibri" w:hAnsi="Calibri" w:cs="Calibri"/>
          <w:color w:val="212121"/>
          <w:sz w:val="22"/>
          <w:szCs w:val="22"/>
        </w:rPr>
        <w:t>(Olumlu Etkiler: Abone hareketliliğinin artması, Kısa vadede fiyatların düşmesi, tüketici refahında artış &amp; Olumsuz Riskler: Sadık/ mevcut abonelerin dezavantajlı duruma düşmesi, fiyat sıkıştırması (</w:t>
      </w:r>
      <w:proofErr w:type="spellStart"/>
      <w:r w:rsidR="00C36AA4" w:rsidRPr="00C36AA4">
        <w:rPr>
          <w:rFonts w:ascii="Calibri" w:hAnsi="Calibri" w:cs="Calibri"/>
          <w:color w:val="212121"/>
          <w:sz w:val="22"/>
          <w:szCs w:val="22"/>
        </w:rPr>
        <w:t>price</w:t>
      </w:r>
      <w:proofErr w:type="spellEnd"/>
      <w:r w:rsidR="00C36AA4" w:rsidRPr="00C36AA4">
        <w:rPr>
          <w:rFonts w:ascii="Calibri" w:hAnsi="Calibri" w:cs="Calibri"/>
          <w:color w:val="212121"/>
          <w:sz w:val="22"/>
          <w:szCs w:val="22"/>
        </w:rPr>
        <w:t xml:space="preserve"> </w:t>
      </w:r>
      <w:proofErr w:type="spellStart"/>
      <w:r w:rsidR="00C36AA4" w:rsidRPr="00C36AA4">
        <w:rPr>
          <w:rFonts w:ascii="Calibri" w:hAnsi="Calibri" w:cs="Calibri"/>
          <w:color w:val="212121"/>
          <w:sz w:val="22"/>
          <w:szCs w:val="22"/>
        </w:rPr>
        <w:t>squeeze</w:t>
      </w:r>
      <w:proofErr w:type="spellEnd"/>
      <w:r w:rsidR="00C36AA4" w:rsidRPr="00C36AA4">
        <w:rPr>
          <w:rFonts w:ascii="Calibri" w:hAnsi="Calibri" w:cs="Calibri"/>
          <w:color w:val="212121"/>
          <w:sz w:val="22"/>
          <w:szCs w:val="22"/>
        </w:rPr>
        <w:t>) riski, uzun vadede sürdürülemez fiyat yapıları)</w:t>
      </w:r>
      <w:r w:rsidR="00C36AA4">
        <w:rPr>
          <w:rFonts w:ascii="Calibri" w:hAnsi="Calibri" w:cs="Calibri"/>
          <w:color w:val="212121"/>
          <w:sz w:val="22"/>
          <w:szCs w:val="22"/>
        </w:rPr>
        <w:t xml:space="preserve"> ve b</w:t>
      </w:r>
      <w:r w:rsidRPr="00C36AA4">
        <w:rPr>
          <w:rFonts w:ascii="Calibri" w:hAnsi="Calibri" w:cs="Calibri"/>
          <w:color w:val="212121"/>
          <w:sz w:val="22"/>
          <w:szCs w:val="22"/>
        </w:rPr>
        <w:t>u uygulamaların "yıkıcı fiyatlandırma" veya "fiyat sıkıştırması" teşkil edip etmediğinin tespit</w:t>
      </w:r>
      <w:r w:rsidR="00A565D8">
        <w:rPr>
          <w:rFonts w:ascii="Calibri" w:hAnsi="Calibri" w:cs="Calibri"/>
          <w:color w:val="212121"/>
          <w:sz w:val="22"/>
          <w:szCs w:val="22"/>
        </w:rPr>
        <w:t xml:space="preserve"> edilmesi</w:t>
      </w:r>
      <w:r w:rsidRPr="00C36AA4">
        <w:rPr>
          <w:rFonts w:ascii="Calibri" w:hAnsi="Calibri" w:cs="Calibri"/>
          <w:color w:val="212121"/>
          <w:sz w:val="22"/>
          <w:szCs w:val="22"/>
        </w:rPr>
        <w:t>.</w:t>
      </w:r>
    </w:p>
    <w:p w:rsidR="00FD5A70" w:rsidRDefault="00FD5A70" w:rsidP="00FD5A70">
      <w:pPr>
        <w:pStyle w:val="xmsonormal"/>
        <w:numPr>
          <w:ilvl w:val="0"/>
          <w:numId w:val="6"/>
        </w:numPr>
        <w:shd w:val="clear" w:color="auto" w:fill="FFFFFF"/>
        <w:spacing w:before="0" w:beforeAutospacing="0" w:after="0" w:afterAutospacing="0" w:line="276" w:lineRule="auto"/>
        <w:rPr>
          <w:rFonts w:ascii="Calibri" w:hAnsi="Calibri" w:cs="Calibri"/>
          <w:color w:val="212121"/>
          <w:sz w:val="22"/>
          <w:szCs w:val="22"/>
        </w:rPr>
      </w:pPr>
      <w:r>
        <w:rPr>
          <w:rFonts w:ascii="Calibri" w:hAnsi="Calibri" w:cs="Calibri"/>
          <w:b/>
          <w:bCs/>
          <w:color w:val="212121"/>
          <w:sz w:val="22"/>
          <w:szCs w:val="22"/>
        </w:rPr>
        <w:t>Tüketici Etki Analizi:</w:t>
      </w:r>
      <w:r>
        <w:rPr>
          <w:rFonts w:ascii="Calibri" w:hAnsi="Calibri" w:cs="Calibri"/>
          <w:color w:val="212121"/>
          <w:sz w:val="22"/>
          <w:szCs w:val="22"/>
        </w:rPr>
        <w:t> Piyasanın tüketici odaklı bir bakış açısıyla incelenmesi:</w:t>
      </w:r>
    </w:p>
    <w:p w:rsidR="00FD5A70" w:rsidRDefault="00A565D8" w:rsidP="00FD5A70">
      <w:pPr>
        <w:pStyle w:val="xmsonormal"/>
        <w:numPr>
          <w:ilvl w:val="1"/>
          <w:numId w:val="6"/>
        </w:numPr>
        <w:shd w:val="clear" w:color="auto" w:fill="FFFFFF"/>
        <w:spacing w:before="0" w:beforeAutospacing="0" w:after="0" w:afterAutospacing="0" w:line="276" w:lineRule="auto"/>
        <w:rPr>
          <w:rFonts w:ascii="Calibri" w:hAnsi="Calibri" w:cs="Calibri"/>
          <w:color w:val="212121"/>
          <w:sz w:val="22"/>
          <w:szCs w:val="22"/>
        </w:rPr>
      </w:pPr>
      <w:r>
        <w:rPr>
          <w:rFonts w:ascii="Calibri" w:hAnsi="Calibri" w:cs="Calibri"/>
          <w:color w:val="212121"/>
          <w:sz w:val="22"/>
          <w:szCs w:val="22"/>
        </w:rPr>
        <w:t>Reklam ve kampanyalardaki b</w:t>
      </w:r>
      <w:r w:rsidR="00FD5A70">
        <w:rPr>
          <w:rFonts w:ascii="Calibri" w:hAnsi="Calibri" w:cs="Calibri"/>
          <w:color w:val="212121"/>
          <w:sz w:val="22"/>
          <w:szCs w:val="22"/>
        </w:rPr>
        <w:t>ilgi şeffaflığı.</w:t>
      </w:r>
    </w:p>
    <w:p w:rsidR="00A565D8" w:rsidRDefault="00A565D8" w:rsidP="00FD5A70">
      <w:pPr>
        <w:pStyle w:val="xmsonormal"/>
        <w:numPr>
          <w:ilvl w:val="1"/>
          <w:numId w:val="6"/>
        </w:numPr>
        <w:shd w:val="clear" w:color="auto" w:fill="FFFFFF"/>
        <w:spacing w:before="0" w:beforeAutospacing="0" w:after="0" w:afterAutospacing="0" w:line="276" w:lineRule="auto"/>
        <w:rPr>
          <w:rFonts w:ascii="Calibri" w:hAnsi="Calibri" w:cs="Calibri"/>
          <w:color w:val="212121"/>
          <w:sz w:val="22"/>
          <w:szCs w:val="22"/>
        </w:rPr>
      </w:pPr>
      <w:r>
        <w:rPr>
          <w:rFonts w:ascii="Calibri" w:hAnsi="Calibri" w:cs="Calibri"/>
          <w:color w:val="212121"/>
          <w:sz w:val="22"/>
          <w:szCs w:val="22"/>
        </w:rPr>
        <w:t>Kampanyalardan yararlanabilen ve yararlanamayan abonelerin tespiti.</w:t>
      </w:r>
    </w:p>
    <w:p w:rsidR="00FD5A70" w:rsidRDefault="00FD5A70" w:rsidP="00FD5A70">
      <w:pPr>
        <w:pStyle w:val="xmsonormal"/>
        <w:numPr>
          <w:ilvl w:val="1"/>
          <w:numId w:val="6"/>
        </w:numPr>
        <w:shd w:val="clear" w:color="auto" w:fill="FFFFFF"/>
        <w:spacing w:before="0" w:beforeAutospacing="0" w:after="0" w:afterAutospacing="0" w:line="276" w:lineRule="auto"/>
        <w:rPr>
          <w:rFonts w:ascii="Calibri" w:hAnsi="Calibri" w:cs="Calibri"/>
          <w:color w:val="212121"/>
          <w:sz w:val="22"/>
          <w:szCs w:val="22"/>
        </w:rPr>
      </w:pPr>
      <w:r>
        <w:rPr>
          <w:rFonts w:ascii="Calibri" w:hAnsi="Calibri" w:cs="Calibri"/>
          <w:color w:val="212121"/>
          <w:sz w:val="22"/>
          <w:szCs w:val="22"/>
        </w:rPr>
        <w:t xml:space="preserve">Sözleşme engelleri (uzun süreli taahhütler, otomatik yenilemeler, yüksek </w:t>
      </w:r>
      <w:r w:rsidR="005C310E">
        <w:rPr>
          <w:rFonts w:ascii="Calibri" w:hAnsi="Calibri" w:cs="Calibri"/>
          <w:color w:val="212121"/>
          <w:sz w:val="22"/>
          <w:szCs w:val="22"/>
        </w:rPr>
        <w:t>cayma bedelleri</w:t>
      </w:r>
      <w:r>
        <w:rPr>
          <w:rFonts w:ascii="Calibri" w:hAnsi="Calibri" w:cs="Calibri"/>
          <w:color w:val="212121"/>
          <w:sz w:val="22"/>
          <w:szCs w:val="22"/>
        </w:rPr>
        <w:t>).</w:t>
      </w:r>
    </w:p>
    <w:p w:rsidR="00FD5A70" w:rsidRDefault="00FD5A70" w:rsidP="00FD5A70">
      <w:pPr>
        <w:pStyle w:val="xmsonormal"/>
        <w:numPr>
          <w:ilvl w:val="1"/>
          <w:numId w:val="6"/>
        </w:numPr>
        <w:shd w:val="clear" w:color="auto" w:fill="FFFFFF"/>
        <w:spacing w:before="0" w:beforeAutospacing="0" w:after="0" w:afterAutospacing="0" w:line="276" w:lineRule="auto"/>
        <w:rPr>
          <w:rFonts w:ascii="Calibri" w:hAnsi="Calibri" w:cs="Calibri"/>
          <w:color w:val="212121"/>
          <w:sz w:val="22"/>
          <w:szCs w:val="22"/>
        </w:rPr>
      </w:pPr>
      <w:r>
        <w:rPr>
          <w:rFonts w:ascii="Calibri" w:hAnsi="Calibri" w:cs="Calibri"/>
          <w:color w:val="212121"/>
          <w:sz w:val="22"/>
          <w:szCs w:val="22"/>
        </w:rPr>
        <w:t xml:space="preserve">Operatör değiştirme kolaylığı (Numara </w:t>
      </w:r>
      <w:r w:rsidR="00C36AA4">
        <w:rPr>
          <w:rFonts w:ascii="Calibri" w:hAnsi="Calibri" w:cs="Calibri"/>
          <w:color w:val="212121"/>
          <w:sz w:val="22"/>
          <w:szCs w:val="22"/>
        </w:rPr>
        <w:t>Taşınabilirliğinin</w:t>
      </w:r>
      <w:r>
        <w:rPr>
          <w:rFonts w:ascii="Calibri" w:hAnsi="Calibri" w:cs="Calibri"/>
          <w:color w:val="212121"/>
          <w:sz w:val="22"/>
          <w:szCs w:val="22"/>
        </w:rPr>
        <w:t xml:space="preserve"> etkinliği).</w:t>
      </w:r>
    </w:p>
    <w:p w:rsidR="00FD5A70" w:rsidRDefault="00FD5A70" w:rsidP="00FD5A70">
      <w:pPr>
        <w:pStyle w:val="xmsonormal"/>
        <w:numPr>
          <w:ilvl w:val="0"/>
          <w:numId w:val="6"/>
        </w:numPr>
        <w:shd w:val="clear" w:color="auto" w:fill="FFFFFF"/>
        <w:spacing w:before="0" w:beforeAutospacing="0" w:after="0" w:afterAutospacing="0" w:line="276" w:lineRule="auto"/>
        <w:rPr>
          <w:rFonts w:ascii="Calibri" w:hAnsi="Calibri" w:cs="Calibri"/>
          <w:color w:val="212121"/>
          <w:sz w:val="22"/>
          <w:szCs w:val="22"/>
        </w:rPr>
      </w:pPr>
      <w:r>
        <w:rPr>
          <w:rFonts w:ascii="Calibri" w:hAnsi="Calibri" w:cs="Calibri"/>
          <w:b/>
          <w:bCs/>
          <w:color w:val="212121"/>
          <w:sz w:val="22"/>
          <w:szCs w:val="22"/>
        </w:rPr>
        <w:t>Uluslararası İyi Uygulamalar:</w:t>
      </w:r>
      <w:r>
        <w:rPr>
          <w:rFonts w:ascii="Calibri" w:hAnsi="Calibri" w:cs="Calibri"/>
          <w:color w:val="212121"/>
          <w:sz w:val="22"/>
          <w:szCs w:val="22"/>
        </w:rPr>
        <w:t xml:space="preserve"> Uluslararası düzenleyicilerin </w:t>
      </w:r>
      <w:r w:rsidR="00A565D8">
        <w:rPr>
          <w:rFonts w:ascii="Calibri" w:hAnsi="Calibri" w:cs="Calibri"/>
          <w:color w:val="212121"/>
          <w:sz w:val="22"/>
          <w:szCs w:val="22"/>
        </w:rPr>
        <w:t>benzeri</w:t>
      </w:r>
      <w:r>
        <w:rPr>
          <w:rFonts w:ascii="Calibri" w:hAnsi="Calibri" w:cs="Calibri"/>
          <w:color w:val="212121"/>
          <w:sz w:val="22"/>
          <w:szCs w:val="22"/>
        </w:rPr>
        <w:t xml:space="preserve"> indirim uygulamalarını nasıl ele aldığına ve fiyat rekabetini engellemeden tüketiciyi korumak için "simetrik düzenlemeleri" kullanıp kullanmadıklarına dair çalışmaların</w:t>
      </w:r>
      <w:r w:rsidR="00A565D8">
        <w:rPr>
          <w:rFonts w:ascii="Calibri" w:hAnsi="Calibri" w:cs="Calibri"/>
          <w:color w:val="212121"/>
          <w:sz w:val="22"/>
          <w:szCs w:val="22"/>
        </w:rPr>
        <w:t xml:space="preserve"> araştırılması ve varsa</w:t>
      </w:r>
      <w:r>
        <w:rPr>
          <w:rFonts w:ascii="Calibri" w:hAnsi="Calibri" w:cs="Calibri"/>
          <w:color w:val="212121"/>
          <w:sz w:val="22"/>
          <w:szCs w:val="22"/>
        </w:rPr>
        <w:t xml:space="preserve"> referans gösterilmesi.</w:t>
      </w:r>
    </w:p>
    <w:p w:rsidR="00C36AA4" w:rsidRPr="00C36AA4" w:rsidRDefault="00FD5A70" w:rsidP="00E061BE">
      <w:pPr>
        <w:pStyle w:val="xmsonormal"/>
        <w:numPr>
          <w:ilvl w:val="0"/>
          <w:numId w:val="6"/>
        </w:numPr>
        <w:shd w:val="clear" w:color="auto" w:fill="FFFFFF"/>
        <w:spacing w:before="0" w:beforeAutospacing="0" w:after="0" w:afterAutospacing="0" w:line="276" w:lineRule="auto"/>
        <w:rPr>
          <w:rFonts w:ascii="Calibri" w:hAnsi="Calibri" w:cs="Calibri"/>
          <w:color w:val="212121"/>
          <w:sz w:val="22"/>
          <w:szCs w:val="22"/>
        </w:rPr>
      </w:pPr>
      <w:r w:rsidRPr="00C36AA4">
        <w:rPr>
          <w:rFonts w:ascii="Calibri" w:hAnsi="Calibri" w:cs="Calibri"/>
          <w:b/>
          <w:bCs/>
          <w:color w:val="212121"/>
          <w:sz w:val="22"/>
          <w:szCs w:val="22"/>
        </w:rPr>
        <w:lastRenderedPageBreak/>
        <w:t>Düzenleyici Tavsiyeler:</w:t>
      </w:r>
      <w:r w:rsidRPr="00C36AA4">
        <w:rPr>
          <w:rFonts w:ascii="Calibri" w:hAnsi="Calibri" w:cs="Calibri"/>
          <w:color w:val="212121"/>
          <w:sz w:val="22"/>
          <w:szCs w:val="22"/>
        </w:rPr>
        <w:t> Müdahale</w:t>
      </w:r>
      <w:r w:rsidR="00A565D8">
        <w:rPr>
          <w:rFonts w:ascii="Calibri" w:hAnsi="Calibri" w:cs="Calibri"/>
          <w:color w:val="212121"/>
          <w:sz w:val="22"/>
          <w:szCs w:val="22"/>
        </w:rPr>
        <w:t xml:space="preserve"> ve/veya tedbirlerin</w:t>
      </w:r>
      <w:r w:rsidRPr="00C36AA4">
        <w:rPr>
          <w:rFonts w:ascii="Calibri" w:hAnsi="Calibri" w:cs="Calibri"/>
          <w:color w:val="212121"/>
          <w:sz w:val="22"/>
          <w:szCs w:val="22"/>
        </w:rPr>
        <w:t xml:space="preserve"> gerekli görülmesi durumunda uygun yasal mekanizmaların belirlenmesi.</w:t>
      </w:r>
      <w:r w:rsidR="00C36AA4" w:rsidRPr="00C36AA4">
        <w:rPr>
          <w:rFonts w:ascii="Calibri" w:hAnsi="Calibri" w:cs="Calibri"/>
          <w:color w:val="212121"/>
          <w:sz w:val="22"/>
          <w:szCs w:val="22"/>
        </w:rPr>
        <w:t xml:space="preserve"> Uygun görülmesi halinde, </w:t>
      </w:r>
      <w:r w:rsidR="00A565D8">
        <w:rPr>
          <w:rFonts w:ascii="Calibri" w:hAnsi="Calibri" w:cs="Calibri"/>
          <w:color w:val="212121"/>
          <w:sz w:val="22"/>
          <w:szCs w:val="22"/>
        </w:rPr>
        <w:t>m</w:t>
      </w:r>
      <w:r w:rsidR="00C36AA4">
        <w:rPr>
          <w:rFonts w:ascii="Calibri" w:hAnsi="Calibri" w:cs="Calibri"/>
          <w:color w:val="212121"/>
          <w:sz w:val="22"/>
          <w:szCs w:val="22"/>
        </w:rPr>
        <w:t xml:space="preserve">obil </w:t>
      </w:r>
      <w:r w:rsidR="00136257">
        <w:rPr>
          <w:rFonts w:ascii="Calibri" w:hAnsi="Calibri" w:cs="Calibri"/>
          <w:color w:val="212121"/>
          <w:sz w:val="22"/>
          <w:szCs w:val="22"/>
        </w:rPr>
        <w:t>operatörlere</w:t>
      </w:r>
      <w:r w:rsidR="00C36AA4" w:rsidRPr="00C36AA4">
        <w:rPr>
          <w:rFonts w:ascii="Calibri" w:hAnsi="Calibri" w:cs="Calibri"/>
          <w:color w:val="212121"/>
          <w:sz w:val="22"/>
          <w:szCs w:val="22"/>
        </w:rPr>
        <w:t xml:space="preserve"> yönelik olarak:</w:t>
      </w:r>
    </w:p>
    <w:p w:rsidR="00C36AA4" w:rsidRPr="00C36AA4" w:rsidRDefault="00C36AA4" w:rsidP="00C36AA4">
      <w:pPr>
        <w:pStyle w:val="xmsonormal"/>
        <w:numPr>
          <w:ilvl w:val="1"/>
          <w:numId w:val="6"/>
        </w:numPr>
        <w:shd w:val="clear" w:color="auto" w:fill="FFFFFF"/>
        <w:spacing w:after="0" w:line="276" w:lineRule="auto"/>
        <w:rPr>
          <w:rFonts w:ascii="Calibri" w:hAnsi="Calibri" w:cs="Calibri"/>
          <w:color w:val="212121"/>
          <w:sz w:val="22"/>
          <w:szCs w:val="22"/>
        </w:rPr>
      </w:pPr>
      <w:r w:rsidRPr="00C36AA4">
        <w:rPr>
          <w:rFonts w:ascii="Calibri" w:hAnsi="Calibri" w:cs="Calibri"/>
          <w:color w:val="212121"/>
          <w:sz w:val="22"/>
          <w:szCs w:val="22"/>
        </w:rPr>
        <w:t>Yeni ve mevcut aboneler arasında aşırı fiyat farklarının sınırlandırılması</w:t>
      </w:r>
      <w:r w:rsidR="005C310E">
        <w:rPr>
          <w:rFonts w:ascii="Calibri" w:hAnsi="Calibri" w:cs="Calibri"/>
          <w:color w:val="212121"/>
          <w:sz w:val="22"/>
          <w:szCs w:val="22"/>
        </w:rPr>
        <w:t>,</w:t>
      </w:r>
    </w:p>
    <w:p w:rsidR="00C36AA4" w:rsidRPr="00C36AA4" w:rsidRDefault="00C36AA4" w:rsidP="00C36AA4">
      <w:pPr>
        <w:pStyle w:val="xmsonormal"/>
        <w:numPr>
          <w:ilvl w:val="1"/>
          <w:numId w:val="6"/>
        </w:numPr>
        <w:shd w:val="clear" w:color="auto" w:fill="FFFFFF"/>
        <w:spacing w:after="0" w:line="276" w:lineRule="auto"/>
        <w:rPr>
          <w:rFonts w:ascii="Calibri" w:hAnsi="Calibri" w:cs="Calibri"/>
          <w:color w:val="212121"/>
          <w:sz w:val="22"/>
          <w:szCs w:val="22"/>
        </w:rPr>
      </w:pPr>
      <w:r w:rsidRPr="00C36AA4">
        <w:rPr>
          <w:rFonts w:ascii="Calibri" w:hAnsi="Calibri" w:cs="Calibri"/>
          <w:color w:val="212121"/>
          <w:sz w:val="22"/>
          <w:szCs w:val="22"/>
        </w:rPr>
        <w:t>Kampanya sürelerinin ve koşullarının açıkça belirtilmesi</w:t>
      </w:r>
      <w:r w:rsidR="005C310E">
        <w:rPr>
          <w:rFonts w:ascii="Calibri" w:hAnsi="Calibri" w:cs="Calibri"/>
          <w:color w:val="212121"/>
          <w:sz w:val="22"/>
          <w:szCs w:val="22"/>
        </w:rPr>
        <w:t>,</w:t>
      </w:r>
    </w:p>
    <w:p w:rsidR="008E013C" w:rsidRDefault="00C36AA4" w:rsidP="008E013C">
      <w:pPr>
        <w:pStyle w:val="xmsonormal"/>
        <w:numPr>
          <w:ilvl w:val="1"/>
          <w:numId w:val="6"/>
        </w:numPr>
        <w:shd w:val="clear" w:color="auto" w:fill="FFFFFF"/>
        <w:spacing w:before="0" w:beforeAutospacing="0" w:after="0" w:line="276" w:lineRule="auto"/>
        <w:rPr>
          <w:rFonts w:ascii="Calibri" w:hAnsi="Calibri" w:cs="Calibri"/>
          <w:color w:val="212121"/>
          <w:sz w:val="22"/>
          <w:szCs w:val="22"/>
        </w:rPr>
      </w:pPr>
      <w:r w:rsidRPr="008E013C">
        <w:rPr>
          <w:rFonts w:ascii="Calibri" w:hAnsi="Calibri" w:cs="Calibri"/>
          <w:color w:val="212121"/>
          <w:sz w:val="22"/>
          <w:szCs w:val="22"/>
        </w:rPr>
        <w:t>Mevcut abonelere de makul geçiş/uyum seçeneklerinin sunulması</w:t>
      </w:r>
      <w:r w:rsidR="005C310E">
        <w:rPr>
          <w:rFonts w:ascii="Calibri" w:hAnsi="Calibri" w:cs="Calibri"/>
          <w:color w:val="212121"/>
          <w:sz w:val="22"/>
          <w:szCs w:val="22"/>
        </w:rPr>
        <w:t>.</w:t>
      </w:r>
    </w:p>
    <w:p w:rsidR="00FD5A70" w:rsidRDefault="00FD5A70" w:rsidP="008E013C">
      <w:pPr>
        <w:pStyle w:val="xmsonormal"/>
        <w:numPr>
          <w:ilvl w:val="0"/>
          <w:numId w:val="6"/>
        </w:numPr>
        <w:shd w:val="clear" w:color="auto" w:fill="FFFFFF"/>
        <w:spacing w:before="0" w:beforeAutospacing="0" w:after="0" w:afterAutospacing="0" w:line="276" w:lineRule="auto"/>
        <w:rPr>
          <w:rFonts w:ascii="Calibri" w:hAnsi="Calibri" w:cs="Calibri"/>
          <w:color w:val="212121"/>
          <w:sz w:val="22"/>
          <w:szCs w:val="22"/>
        </w:rPr>
      </w:pPr>
      <w:r>
        <w:rPr>
          <w:rFonts w:ascii="Calibri" w:hAnsi="Calibri" w:cs="Calibri"/>
          <w:b/>
          <w:bCs/>
          <w:color w:val="212121"/>
          <w:sz w:val="22"/>
          <w:szCs w:val="22"/>
        </w:rPr>
        <w:t>Raporlama:</w:t>
      </w:r>
      <w:r>
        <w:rPr>
          <w:rFonts w:ascii="Calibri" w:hAnsi="Calibri" w:cs="Calibri"/>
          <w:color w:val="212121"/>
          <w:sz w:val="22"/>
          <w:szCs w:val="22"/>
        </w:rPr>
        <w:t xml:space="preserve"> </w:t>
      </w:r>
      <w:r w:rsidR="00C36AA4">
        <w:rPr>
          <w:rFonts w:ascii="Calibri" w:hAnsi="Calibri" w:cs="Calibri"/>
          <w:color w:val="212121"/>
          <w:sz w:val="22"/>
          <w:szCs w:val="22"/>
        </w:rPr>
        <w:t>Çalışma rapor halinde Nihai Piyasa Analizi Raporları ile birlikte Kurum’a sunulacaktır.</w:t>
      </w:r>
    </w:p>
    <w:p w:rsidR="009E1C58" w:rsidRPr="00AE41C0" w:rsidRDefault="009E1C58" w:rsidP="00986F9F">
      <w:pPr>
        <w:pStyle w:val="ListParagraph"/>
        <w:widowControl w:val="0"/>
        <w:spacing w:after="0" w:line="23" w:lineRule="atLeast"/>
        <w:ind w:left="1146"/>
        <w:jc w:val="both"/>
        <w:rPr>
          <w:rFonts w:cs="Arial"/>
        </w:rPr>
      </w:pPr>
    </w:p>
    <w:p w:rsidR="00986F9F" w:rsidRPr="00AE41C0" w:rsidRDefault="00986F9F" w:rsidP="0086504C">
      <w:pPr>
        <w:pStyle w:val="Heading3"/>
        <w:numPr>
          <w:ilvl w:val="1"/>
          <w:numId w:val="4"/>
        </w:numPr>
        <w:rPr>
          <w:rFonts w:asciiTheme="minorHAnsi" w:eastAsia="Arial" w:hAnsiTheme="minorHAnsi"/>
          <w:szCs w:val="22"/>
        </w:rPr>
      </w:pPr>
      <w:r w:rsidRPr="00AE41C0">
        <w:rPr>
          <w:rFonts w:asciiTheme="minorHAnsi" w:eastAsia="Arial" w:hAnsiTheme="minorHAnsi"/>
          <w:szCs w:val="22"/>
        </w:rPr>
        <w:t>Yüklenici ve</w:t>
      </w:r>
      <w:r w:rsidR="00D71E43" w:rsidRPr="00AE41C0">
        <w:rPr>
          <w:rFonts w:asciiTheme="minorHAnsi" w:eastAsia="Arial" w:hAnsiTheme="minorHAnsi"/>
          <w:szCs w:val="22"/>
        </w:rPr>
        <w:t>/veya</w:t>
      </w:r>
      <w:r w:rsidRPr="00AE41C0">
        <w:rPr>
          <w:rFonts w:asciiTheme="minorHAnsi" w:eastAsia="Arial" w:hAnsiTheme="minorHAnsi"/>
          <w:szCs w:val="22"/>
        </w:rPr>
        <w:t xml:space="preserve"> Alt Yüklenicinin Yükümlülükleri</w:t>
      </w:r>
    </w:p>
    <w:p w:rsidR="0086504C" w:rsidRPr="00AE41C0" w:rsidRDefault="0086504C" w:rsidP="0086504C">
      <w:pPr>
        <w:rPr>
          <w:lang w:val="tr-TR"/>
        </w:rPr>
      </w:pPr>
    </w:p>
    <w:p w:rsidR="00986F9F" w:rsidRPr="00AE41C0" w:rsidRDefault="00986F9F" w:rsidP="00A565D8">
      <w:pPr>
        <w:pStyle w:val="ListParagraph"/>
        <w:widowControl w:val="0"/>
        <w:numPr>
          <w:ilvl w:val="2"/>
          <w:numId w:val="9"/>
        </w:numPr>
        <w:spacing w:after="0" w:line="23" w:lineRule="atLeast"/>
        <w:ind w:left="993" w:hanging="426"/>
        <w:jc w:val="both"/>
        <w:rPr>
          <w:rFonts w:cs="Arial"/>
        </w:rPr>
      </w:pPr>
      <w:r w:rsidRPr="00AE41C0">
        <w:rPr>
          <w:rFonts w:cs="Arial"/>
        </w:rPr>
        <w:t>Kurum tarafından onaylanan</w:t>
      </w:r>
      <w:r w:rsidR="00454821">
        <w:rPr>
          <w:rFonts w:cs="Arial"/>
        </w:rPr>
        <w:t xml:space="preserve"> </w:t>
      </w:r>
      <w:r w:rsidRPr="00AE41C0">
        <w:rPr>
          <w:rFonts w:cs="Arial"/>
        </w:rPr>
        <w:t>alt yüklenicilerin, işe başlamadan önce Yüklenici ile resmi sözleşme yapması ve bir örneğini Kurum’a vermesi gerekir.  Buna ek olarak, Yüklenicinin, konu iş kapsamında alt yüklenicilere yaptıracağı işleri ve miktarlarını da sözleşmelerinin içerisinde belirterek Kurum’a onaylatması gerekmektedir.</w:t>
      </w:r>
    </w:p>
    <w:p w:rsidR="00986F9F" w:rsidRPr="00AE41C0" w:rsidRDefault="00986F9F" w:rsidP="00A565D8">
      <w:pPr>
        <w:pStyle w:val="ListParagraph"/>
        <w:widowControl w:val="0"/>
        <w:numPr>
          <w:ilvl w:val="2"/>
          <w:numId w:val="9"/>
        </w:numPr>
        <w:spacing w:after="0" w:line="23" w:lineRule="atLeast"/>
        <w:ind w:left="993" w:hanging="426"/>
        <w:jc w:val="both"/>
        <w:rPr>
          <w:rFonts w:cs="Arial"/>
        </w:rPr>
      </w:pPr>
      <w:r w:rsidRPr="00AE41C0">
        <w:rPr>
          <w:rFonts w:cs="Arial"/>
        </w:rPr>
        <w:t>Görev tanımında belirlenen faaliyetlerin yerine getirilmesi,</w:t>
      </w:r>
      <w:bookmarkStart w:id="1" w:name="_GoBack"/>
      <w:bookmarkEnd w:id="1"/>
    </w:p>
    <w:p w:rsidR="00986F9F" w:rsidRPr="00AE41C0" w:rsidRDefault="00986F9F" w:rsidP="00A565D8">
      <w:pPr>
        <w:pStyle w:val="ListParagraph"/>
        <w:widowControl w:val="0"/>
        <w:numPr>
          <w:ilvl w:val="2"/>
          <w:numId w:val="9"/>
        </w:numPr>
        <w:spacing w:after="0" w:line="23" w:lineRule="atLeast"/>
        <w:ind w:left="993" w:hanging="426"/>
        <w:jc w:val="both"/>
        <w:rPr>
          <w:rFonts w:cs="Arial"/>
        </w:rPr>
      </w:pPr>
      <w:r w:rsidRPr="00AE41C0">
        <w:rPr>
          <w:rFonts w:cs="Arial"/>
        </w:rPr>
        <w:t>Kurum ile düzenli olarak toplantılar yapılması,</w:t>
      </w:r>
    </w:p>
    <w:p w:rsidR="00986F9F" w:rsidRPr="00AE41C0" w:rsidRDefault="00986F9F" w:rsidP="00A565D8">
      <w:pPr>
        <w:pStyle w:val="ListParagraph"/>
        <w:widowControl w:val="0"/>
        <w:numPr>
          <w:ilvl w:val="2"/>
          <w:numId w:val="9"/>
        </w:numPr>
        <w:spacing w:after="0" w:line="23" w:lineRule="atLeast"/>
        <w:ind w:left="993" w:hanging="426"/>
        <w:jc w:val="both"/>
        <w:rPr>
          <w:rFonts w:cs="Arial"/>
        </w:rPr>
      </w:pPr>
      <w:r w:rsidRPr="00AE41C0">
        <w:rPr>
          <w:rFonts w:cs="Arial"/>
        </w:rPr>
        <w:t>Yapılan çalışmanın her aşamasının, Kurum’un bilgi ve onayı kapsamında gerçekleştirilmesi,</w:t>
      </w:r>
    </w:p>
    <w:p w:rsidR="00986F9F" w:rsidRPr="00AE41C0" w:rsidRDefault="00986F9F" w:rsidP="00A565D8">
      <w:pPr>
        <w:pStyle w:val="ListParagraph"/>
        <w:widowControl w:val="0"/>
        <w:numPr>
          <w:ilvl w:val="2"/>
          <w:numId w:val="9"/>
        </w:numPr>
        <w:spacing w:after="0" w:line="23" w:lineRule="atLeast"/>
        <w:ind w:left="993" w:hanging="426"/>
        <w:jc w:val="both"/>
        <w:rPr>
          <w:rFonts w:cs="Arial"/>
        </w:rPr>
      </w:pPr>
      <w:r w:rsidRPr="00AE41C0">
        <w:rPr>
          <w:rFonts w:cs="Arial"/>
        </w:rPr>
        <w:t>Yüklenici hizmet süresi boyunca öğrendiği üçüncü taraflara ait gizli, ticari veya mali bilgilerin kimseyle paylaşılmaması,</w:t>
      </w:r>
    </w:p>
    <w:p w:rsidR="00986F9F" w:rsidRPr="00AE41C0" w:rsidRDefault="00986F9F" w:rsidP="00A565D8">
      <w:pPr>
        <w:pStyle w:val="ListParagraph"/>
        <w:widowControl w:val="0"/>
        <w:numPr>
          <w:ilvl w:val="2"/>
          <w:numId w:val="9"/>
        </w:numPr>
        <w:spacing w:after="0" w:line="23" w:lineRule="atLeast"/>
        <w:ind w:left="993" w:hanging="426"/>
        <w:jc w:val="both"/>
        <w:rPr>
          <w:rFonts w:cs="Arial"/>
        </w:rPr>
      </w:pPr>
      <w:r w:rsidRPr="00AE41C0">
        <w:rPr>
          <w:rFonts w:cs="Arial"/>
        </w:rPr>
        <w:t>Yüklenicinin teklifinde sunacağı teslim süresine riayet edilmesi,</w:t>
      </w:r>
    </w:p>
    <w:p w:rsidR="00986F9F" w:rsidRPr="00AE41C0" w:rsidRDefault="00986F9F" w:rsidP="00A565D8">
      <w:pPr>
        <w:pStyle w:val="ListParagraph"/>
        <w:widowControl w:val="0"/>
        <w:numPr>
          <w:ilvl w:val="2"/>
          <w:numId w:val="9"/>
        </w:numPr>
        <w:spacing w:after="0" w:line="23" w:lineRule="atLeast"/>
        <w:ind w:left="993" w:hanging="426"/>
        <w:jc w:val="both"/>
        <w:rPr>
          <w:rFonts w:cs="Arial"/>
        </w:rPr>
      </w:pPr>
      <w:r w:rsidRPr="00AE41C0">
        <w:rPr>
          <w:rFonts w:cs="Arial"/>
        </w:rPr>
        <w:t>Hizmet kapsamının tümüyle tamamlanması ve eksik kısım kalmaması,</w:t>
      </w:r>
    </w:p>
    <w:p w:rsidR="00986F9F" w:rsidRPr="00AE41C0" w:rsidRDefault="00986F9F" w:rsidP="00A565D8">
      <w:pPr>
        <w:pStyle w:val="ListParagraph"/>
        <w:widowControl w:val="0"/>
        <w:numPr>
          <w:ilvl w:val="2"/>
          <w:numId w:val="9"/>
        </w:numPr>
        <w:spacing w:after="0" w:line="23" w:lineRule="atLeast"/>
        <w:ind w:left="993" w:hanging="426"/>
        <w:jc w:val="both"/>
        <w:rPr>
          <w:rFonts w:cs="Arial"/>
        </w:rPr>
      </w:pPr>
      <w:r w:rsidRPr="00AE41C0">
        <w:rPr>
          <w:rFonts w:cs="Arial"/>
        </w:rPr>
        <w:t xml:space="preserve">Çalışmanın ilerleyişi hakkında Kurum’a bilgilendirme yapılması, </w:t>
      </w:r>
    </w:p>
    <w:p w:rsidR="00986F9F" w:rsidRDefault="00986F9F" w:rsidP="00A565D8">
      <w:pPr>
        <w:pStyle w:val="ListParagraph"/>
        <w:widowControl w:val="0"/>
        <w:numPr>
          <w:ilvl w:val="2"/>
          <w:numId w:val="9"/>
        </w:numPr>
        <w:spacing w:after="0" w:line="23" w:lineRule="atLeast"/>
        <w:ind w:left="993" w:hanging="426"/>
        <w:jc w:val="both"/>
        <w:rPr>
          <w:rFonts w:cs="Arial"/>
        </w:rPr>
      </w:pPr>
      <w:r w:rsidRPr="00AE41C0">
        <w:rPr>
          <w:rFonts w:cs="Arial"/>
        </w:rPr>
        <w:t>Çalışılan piyasa analizleri ve bu kapsam içerisindeki tüm konularla ilgili Kurum’un sorularına teknik uzmanlık servisi sağlanması.</w:t>
      </w:r>
    </w:p>
    <w:p w:rsidR="00AE41C0" w:rsidRDefault="00AE41C0" w:rsidP="00AE41C0">
      <w:pPr>
        <w:widowControl w:val="0"/>
        <w:spacing w:after="0" w:line="23" w:lineRule="atLeast"/>
        <w:jc w:val="both"/>
        <w:rPr>
          <w:rFonts w:cs="Arial"/>
        </w:rPr>
      </w:pPr>
    </w:p>
    <w:p w:rsidR="00AE41C0" w:rsidRDefault="00AE41C0" w:rsidP="00AE41C0">
      <w:pPr>
        <w:widowControl w:val="0"/>
        <w:spacing w:after="0" w:line="23" w:lineRule="atLeast"/>
        <w:jc w:val="both"/>
        <w:rPr>
          <w:rFonts w:cs="Arial"/>
        </w:rPr>
      </w:pPr>
    </w:p>
    <w:p w:rsidR="00986F9F" w:rsidRPr="00AE41C0" w:rsidRDefault="00986F9F" w:rsidP="00986F9F">
      <w:pPr>
        <w:pStyle w:val="ListParagraph"/>
        <w:widowControl w:val="0"/>
        <w:spacing w:after="0" w:line="23" w:lineRule="atLeast"/>
        <w:ind w:left="1288"/>
        <w:contextualSpacing w:val="0"/>
        <w:jc w:val="both"/>
        <w:rPr>
          <w:rFonts w:cs="Arial"/>
        </w:rPr>
      </w:pPr>
    </w:p>
    <w:p w:rsidR="00986F9F" w:rsidRPr="00AE41C0" w:rsidRDefault="00986F9F" w:rsidP="0086504C">
      <w:pPr>
        <w:pStyle w:val="Heading3"/>
        <w:numPr>
          <w:ilvl w:val="1"/>
          <w:numId w:val="4"/>
        </w:numPr>
        <w:rPr>
          <w:rFonts w:asciiTheme="minorHAnsi" w:eastAsia="Arial" w:hAnsiTheme="minorHAnsi"/>
          <w:color w:val="2E74B5" w:themeColor="accent1" w:themeShade="BF"/>
          <w:sz w:val="26"/>
          <w:szCs w:val="26"/>
        </w:rPr>
      </w:pPr>
      <w:r w:rsidRPr="00AE41C0">
        <w:rPr>
          <w:rFonts w:asciiTheme="minorHAnsi" w:eastAsia="Arial" w:hAnsiTheme="minorHAnsi"/>
          <w:color w:val="2E74B5" w:themeColor="accent1" w:themeShade="BF"/>
          <w:sz w:val="26"/>
          <w:szCs w:val="26"/>
        </w:rPr>
        <w:t>Kurum’un Yükümlülükleri</w:t>
      </w:r>
    </w:p>
    <w:p w:rsidR="0086504C" w:rsidRPr="00AE41C0" w:rsidRDefault="0086504C" w:rsidP="0086504C">
      <w:pPr>
        <w:rPr>
          <w:lang w:val="tr-TR"/>
        </w:rPr>
      </w:pPr>
    </w:p>
    <w:p w:rsidR="00986F9F" w:rsidRPr="00AE41C0" w:rsidRDefault="00986F9F" w:rsidP="00A565D8">
      <w:pPr>
        <w:pStyle w:val="ListParagraph"/>
        <w:widowControl w:val="0"/>
        <w:numPr>
          <w:ilvl w:val="2"/>
          <w:numId w:val="10"/>
        </w:numPr>
        <w:spacing w:after="0" w:line="23" w:lineRule="atLeast"/>
        <w:ind w:left="1134" w:hanging="567"/>
        <w:jc w:val="both"/>
        <w:rPr>
          <w:rFonts w:cs="Arial"/>
        </w:rPr>
      </w:pPr>
      <w:r w:rsidRPr="00AE41C0">
        <w:rPr>
          <w:rFonts w:cs="Arial"/>
        </w:rPr>
        <w:t>Çalışma kapsamında gerek duyulacak tüm bilgileri yükleniciye ulaştırması,</w:t>
      </w:r>
    </w:p>
    <w:p w:rsidR="00986F9F" w:rsidRPr="00AE41C0" w:rsidRDefault="00986F9F" w:rsidP="00A565D8">
      <w:pPr>
        <w:pStyle w:val="ListParagraph"/>
        <w:widowControl w:val="0"/>
        <w:numPr>
          <w:ilvl w:val="2"/>
          <w:numId w:val="10"/>
        </w:numPr>
        <w:spacing w:after="0" w:line="23" w:lineRule="atLeast"/>
        <w:ind w:left="1134" w:hanging="567"/>
        <w:jc w:val="both"/>
        <w:rPr>
          <w:rFonts w:cs="Arial"/>
        </w:rPr>
      </w:pPr>
      <w:r w:rsidRPr="00AE41C0">
        <w:rPr>
          <w:rFonts w:cs="Arial"/>
        </w:rPr>
        <w:t>Zamanında geri bildirimde bulunması</w:t>
      </w:r>
      <w:r w:rsidR="006F54FA">
        <w:rPr>
          <w:rFonts w:cs="Arial"/>
        </w:rPr>
        <w:t>.</w:t>
      </w:r>
    </w:p>
    <w:p w:rsidR="00FD1F0E" w:rsidRPr="00AE41C0" w:rsidRDefault="00FD1F0E" w:rsidP="00A565D8">
      <w:pPr>
        <w:ind w:left="1134" w:hanging="567"/>
        <w:rPr>
          <w:lang w:val="tr-TR"/>
        </w:rPr>
      </w:pPr>
    </w:p>
    <w:sectPr w:rsidR="00FD1F0E" w:rsidRPr="00AE41C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87216"/>
    <w:multiLevelType w:val="multilevel"/>
    <w:tmpl w:val="EF96D8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EC52B4"/>
    <w:multiLevelType w:val="multilevel"/>
    <w:tmpl w:val="7D28D3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BA44A1"/>
    <w:multiLevelType w:val="multilevel"/>
    <w:tmpl w:val="38CC7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7813CE"/>
    <w:multiLevelType w:val="multilevel"/>
    <w:tmpl w:val="D610CB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8F3B5B"/>
    <w:multiLevelType w:val="multilevel"/>
    <w:tmpl w:val="C3DC4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9F5E35"/>
    <w:multiLevelType w:val="multilevel"/>
    <w:tmpl w:val="D0561B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E744A66"/>
    <w:multiLevelType w:val="multilevel"/>
    <w:tmpl w:val="463CC28A"/>
    <w:lvl w:ilvl="0">
      <w:start w:val="1"/>
      <w:numFmt w:val="decimal"/>
      <w:pStyle w:val="Heading1"/>
      <w:suff w:val="space"/>
      <w:lvlText w:val="%1."/>
      <w:lvlJc w:val="left"/>
      <w:pPr>
        <w:ind w:left="720" w:hanging="360"/>
      </w:pPr>
      <w:rPr>
        <w:rFonts w:hint="default"/>
        <w:b w:val="0"/>
      </w:rPr>
    </w:lvl>
    <w:lvl w:ilvl="1">
      <w:start w:val="2"/>
      <w:numFmt w:val="decimal"/>
      <w:isLgl/>
      <w:suff w:val="space"/>
      <w:lvlText w:val="%1.%2."/>
      <w:lvlJc w:val="left"/>
      <w:pPr>
        <w:ind w:left="840" w:hanging="480"/>
      </w:pPr>
      <w:rPr>
        <w:rFonts w:hint="default"/>
        <w:b w:val="0"/>
        <w:sz w:val="22"/>
        <w:szCs w:val="22"/>
      </w:rPr>
    </w:lvl>
    <w:lvl w:ilvl="2">
      <w:start w:val="1"/>
      <w:numFmt w:val="decimal"/>
      <w:isLgl/>
      <w:suff w:val="space"/>
      <w:lvlText w:val="%1.%2.%3."/>
      <w:lvlJc w:val="left"/>
      <w:pPr>
        <w:ind w:left="862" w:hanging="720"/>
      </w:pPr>
      <w:rPr>
        <w:rFonts w:hint="default"/>
        <w:b w:val="0"/>
        <w:sz w:val="22"/>
        <w:szCs w:val="22"/>
        <w:u w:val="none"/>
      </w:rPr>
    </w:lvl>
    <w:lvl w:ilvl="3">
      <w:start w:val="1"/>
      <w:numFmt w:val="decimal"/>
      <w:isLgl/>
      <w:suff w:val="space"/>
      <w:lvlText w:val="%1.%2.%3.%4."/>
      <w:lvlJc w:val="left"/>
      <w:pPr>
        <w:ind w:left="1288" w:hanging="720"/>
      </w:pPr>
      <w:rPr>
        <w:rFonts w:hint="default"/>
        <w:b/>
      </w:rPr>
    </w:lvl>
    <w:lvl w:ilvl="4">
      <w:start w:val="1"/>
      <w:numFmt w:val="decimal"/>
      <w:isLgl/>
      <w:suff w:val="space"/>
      <w:lvlText w:val="%1.%2.%3.%4.%5."/>
      <w:lvlJc w:val="left"/>
      <w:pPr>
        <w:ind w:left="2215"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B404FEF"/>
    <w:multiLevelType w:val="multilevel"/>
    <w:tmpl w:val="7D28D3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11E5E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974B2A"/>
    <w:multiLevelType w:val="hybridMultilevel"/>
    <w:tmpl w:val="8E967B38"/>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num w:numId="1">
    <w:abstractNumId w:val="6"/>
  </w:num>
  <w:num w:numId="2">
    <w:abstractNumId w:val="8"/>
  </w:num>
  <w:num w:numId="3">
    <w:abstractNumId w:val="9"/>
  </w:num>
  <w:num w:numId="4">
    <w:abstractNumId w:val="3"/>
  </w:num>
  <w:num w:numId="5">
    <w:abstractNumId w:val="0"/>
  </w:num>
  <w:num w:numId="6">
    <w:abstractNumId w:val="5"/>
  </w:num>
  <w:num w:numId="7">
    <w:abstractNumId w:val="4"/>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F9F"/>
    <w:rsid w:val="00136257"/>
    <w:rsid w:val="00286F24"/>
    <w:rsid w:val="00454821"/>
    <w:rsid w:val="004E7C11"/>
    <w:rsid w:val="005C310E"/>
    <w:rsid w:val="006267FE"/>
    <w:rsid w:val="006F54FA"/>
    <w:rsid w:val="00791DB6"/>
    <w:rsid w:val="007D2B7F"/>
    <w:rsid w:val="0086504C"/>
    <w:rsid w:val="008E013C"/>
    <w:rsid w:val="00904795"/>
    <w:rsid w:val="00986F9F"/>
    <w:rsid w:val="0099598E"/>
    <w:rsid w:val="009E1C58"/>
    <w:rsid w:val="00A12FDC"/>
    <w:rsid w:val="00A565D8"/>
    <w:rsid w:val="00AE41C0"/>
    <w:rsid w:val="00B60909"/>
    <w:rsid w:val="00C36AA4"/>
    <w:rsid w:val="00D71E43"/>
    <w:rsid w:val="00DA5CDB"/>
    <w:rsid w:val="00E84DB2"/>
    <w:rsid w:val="00FD1F0E"/>
    <w:rsid w:val="00FD5A70"/>
    <w:rsid w:val="00FF3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04400"/>
  <w15:chartTrackingRefBased/>
  <w15:docId w15:val="{19BE0B23-8F71-412D-AB65-2FC3E540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6F9F"/>
    <w:pPr>
      <w:keepNext/>
      <w:keepLines/>
      <w:numPr>
        <w:numId w:val="1"/>
      </w:numPr>
      <w:spacing w:before="240" w:after="0"/>
      <w:outlineLvl w:val="0"/>
    </w:pPr>
    <w:rPr>
      <w:rFonts w:asciiTheme="majorHAnsi" w:eastAsia="Arial" w:hAnsiTheme="majorHAnsi" w:cstheme="majorBidi"/>
      <w:color w:val="2E74B5" w:themeColor="accent1" w:themeShade="BF"/>
      <w:sz w:val="32"/>
      <w:szCs w:val="32"/>
      <w:lang w:val="tr-TR"/>
    </w:rPr>
  </w:style>
  <w:style w:type="paragraph" w:styleId="Heading3">
    <w:name w:val="heading 3"/>
    <w:basedOn w:val="Normal"/>
    <w:next w:val="Normal"/>
    <w:link w:val="Heading3Char"/>
    <w:uiPriority w:val="9"/>
    <w:unhideWhenUsed/>
    <w:qFormat/>
    <w:rsid w:val="00986F9F"/>
    <w:pPr>
      <w:keepNext/>
      <w:keepLines/>
      <w:spacing w:before="40" w:after="0"/>
      <w:outlineLvl w:val="2"/>
    </w:pPr>
    <w:rPr>
      <w:rFonts w:asciiTheme="majorHAnsi" w:eastAsiaTheme="majorEastAsia" w:hAnsiTheme="majorHAnsi" w:cstheme="majorBidi"/>
      <w:color w:val="1F4D78" w:themeColor="accent1" w:themeShade="7F"/>
      <w:sz w:val="24"/>
      <w:szCs w:val="24"/>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6F9F"/>
    <w:rPr>
      <w:rFonts w:asciiTheme="majorHAnsi" w:eastAsia="Arial" w:hAnsiTheme="majorHAnsi" w:cstheme="majorBidi"/>
      <w:color w:val="2E74B5" w:themeColor="accent1" w:themeShade="BF"/>
      <w:sz w:val="32"/>
      <w:szCs w:val="32"/>
      <w:lang w:val="tr-TR"/>
    </w:rPr>
  </w:style>
  <w:style w:type="character" w:customStyle="1" w:styleId="Heading3Char">
    <w:name w:val="Heading 3 Char"/>
    <w:basedOn w:val="DefaultParagraphFont"/>
    <w:link w:val="Heading3"/>
    <w:uiPriority w:val="9"/>
    <w:rsid w:val="00986F9F"/>
    <w:rPr>
      <w:rFonts w:asciiTheme="majorHAnsi" w:eastAsiaTheme="majorEastAsia" w:hAnsiTheme="majorHAnsi" w:cstheme="majorBidi"/>
      <w:color w:val="1F4D78" w:themeColor="accent1" w:themeShade="7F"/>
      <w:sz w:val="24"/>
      <w:szCs w:val="24"/>
      <w:lang w:val="tr-TR"/>
    </w:rPr>
  </w:style>
  <w:style w:type="paragraph" w:styleId="ListParagraph">
    <w:name w:val="List Paragraph"/>
    <w:basedOn w:val="Normal"/>
    <w:link w:val="ListParagraphChar"/>
    <w:uiPriority w:val="99"/>
    <w:qFormat/>
    <w:rsid w:val="00986F9F"/>
    <w:pPr>
      <w:ind w:left="720"/>
      <w:contextualSpacing/>
    </w:pPr>
    <w:rPr>
      <w:lang w:val="tr-TR"/>
    </w:rPr>
  </w:style>
  <w:style w:type="character" w:customStyle="1" w:styleId="ListParagraphChar">
    <w:name w:val="List Paragraph Char"/>
    <w:link w:val="ListParagraph"/>
    <w:uiPriority w:val="99"/>
    <w:locked/>
    <w:rsid w:val="00986F9F"/>
    <w:rPr>
      <w:lang w:val="tr-TR"/>
    </w:rPr>
  </w:style>
  <w:style w:type="paragraph" w:styleId="Title">
    <w:name w:val="Title"/>
    <w:basedOn w:val="Normal"/>
    <w:next w:val="Normal"/>
    <w:link w:val="TitleChar"/>
    <w:qFormat/>
    <w:rsid w:val="0086504C"/>
    <w:pPr>
      <w:spacing w:after="0" w:line="240" w:lineRule="auto"/>
      <w:contextualSpacing/>
    </w:pPr>
    <w:rPr>
      <w:rFonts w:asciiTheme="majorHAnsi" w:eastAsiaTheme="majorEastAsia" w:hAnsiTheme="majorHAnsi" w:cstheme="majorBidi"/>
      <w:spacing w:val="-10"/>
      <w:kern w:val="28"/>
      <w:sz w:val="56"/>
      <w:szCs w:val="56"/>
      <w:u w:color="000000"/>
      <w:lang w:val="tr-TR"/>
    </w:rPr>
  </w:style>
  <w:style w:type="character" w:customStyle="1" w:styleId="TitleChar">
    <w:name w:val="Title Char"/>
    <w:basedOn w:val="DefaultParagraphFont"/>
    <w:link w:val="Title"/>
    <w:rsid w:val="0086504C"/>
    <w:rPr>
      <w:rFonts w:asciiTheme="majorHAnsi" w:eastAsiaTheme="majorEastAsia" w:hAnsiTheme="majorHAnsi" w:cstheme="majorBidi"/>
      <w:spacing w:val="-10"/>
      <w:kern w:val="28"/>
      <w:sz w:val="56"/>
      <w:szCs w:val="56"/>
      <w:u w:color="000000"/>
      <w:lang w:val="tr-TR"/>
    </w:rPr>
  </w:style>
  <w:style w:type="paragraph" w:customStyle="1" w:styleId="xmsonormal">
    <w:name w:val="x_msonormal"/>
    <w:basedOn w:val="Normal"/>
    <w:rsid w:val="00FD5A70"/>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NormalWeb">
    <w:name w:val="Normal (Web)"/>
    <w:basedOn w:val="Normal"/>
    <w:uiPriority w:val="99"/>
    <w:semiHidden/>
    <w:unhideWhenUsed/>
    <w:rsid w:val="00C36AA4"/>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styleId="Strong">
    <w:name w:val="Strong"/>
    <w:basedOn w:val="DefaultParagraphFont"/>
    <w:uiPriority w:val="22"/>
    <w:qFormat/>
    <w:rsid w:val="00C36A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202150">
      <w:bodyDiv w:val="1"/>
      <w:marLeft w:val="0"/>
      <w:marRight w:val="0"/>
      <w:marTop w:val="0"/>
      <w:marBottom w:val="0"/>
      <w:divBdr>
        <w:top w:val="none" w:sz="0" w:space="0" w:color="auto"/>
        <w:left w:val="none" w:sz="0" w:space="0" w:color="auto"/>
        <w:bottom w:val="none" w:sz="0" w:space="0" w:color="auto"/>
        <w:right w:val="none" w:sz="0" w:space="0" w:color="auto"/>
      </w:divBdr>
    </w:div>
    <w:div w:id="627130879">
      <w:bodyDiv w:val="1"/>
      <w:marLeft w:val="0"/>
      <w:marRight w:val="0"/>
      <w:marTop w:val="0"/>
      <w:marBottom w:val="0"/>
      <w:divBdr>
        <w:top w:val="none" w:sz="0" w:space="0" w:color="auto"/>
        <w:left w:val="none" w:sz="0" w:space="0" w:color="auto"/>
        <w:bottom w:val="none" w:sz="0" w:space="0" w:color="auto"/>
        <w:right w:val="none" w:sz="0" w:space="0" w:color="auto"/>
      </w:divBdr>
    </w:div>
    <w:div w:id="1031414965">
      <w:bodyDiv w:val="1"/>
      <w:marLeft w:val="0"/>
      <w:marRight w:val="0"/>
      <w:marTop w:val="0"/>
      <w:marBottom w:val="0"/>
      <w:divBdr>
        <w:top w:val="none" w:sz="0" w:space="0" w:color="auto"/>
        <w:left w:val="none" w:sz="0" w:space="0" w:color="auto"/>
        <w:bottom w:val="none" w:sz="0" w:space="0" w:color="auto"/>
        <w:right w:val="none" w:sz="0" w:space="0" w:color="auto"/>
      </w:divBdr>
    </w:div>
    <w:div w:id="165845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1353</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Elmas</dc:creator>
  <cp:keywords/>
  <dc:description/>
  <cp:lastModifiedBy>Kemal Elmas</cp:lastModifiedBy>
  <cp:revision>14</cp:revision>
  <dcterms:created xsi:type="dcterms:W3CDTF">2024-11-25T21:56:00Z</dcterms:created>
  <dcterms:modified xsi:type="dcterms:W3CDTF">2026-02-05T07:06:00Z</dcterms:modified>
</cp:coreProperties>
</file>